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6" w:rsidRDefault="004A6384" w:rsidP="004A6384">
      <w:pPr>
        <w:jc w:val="center"/>
        <w:rPr>
          <w:b/>
          <w:sz w:val="32"/>
          <w:szCs w:val="32"/>
        </w:rPr>
      </w:pPr>
      <w:r>
        <w:rPr>
          <w:b/>
          <w:sz w:val="32"/>
          <w:szCs w:val="32"/>
        </w:rPr>
        <w:t>Brecon Beacons National Park Authority</w:t>
      </w:r>
    </w:p>
    <w:p w:rsidR="004A6384" w:rsidRDefault="004A6384" w:rsidP="004A6384">
      <w:pPr>
        <w:jc w:val="center"/>
        <w:rPr>
          <w:b/>
          <w:sz w:val="32"/>
          <w:szCs w:val="32"/>
        </w:rPr>
      </w:pPr>
    </w:p>
    <w:p w:rsidR="004A6384" w:rsidRDefault="004A6384" w:rsidP="004A6384">
      <w:pPr>
        <w:rPr>
          <w:b/>
          <w:sz w:val="32"/>
          <w:szCs w:val="32"/>
        </w:rPr>
      </w:pPr>
    </w:p>
    <w:p w:rsidR="004A6384" w:rsidRDefault="004A6384" w:rsidP="004A6384">
      <w:pPr>
        <w:jc w:val="center"/>
        <w:rPr>
          <w:b/>
          <w:sz w:val="32"/>
          <w:szCs w:val="32"/>
        </w:rPr>
      </w:pPr>
      <w:r>
        <w:rPr>
          <w:b/>
          <w:sz w:val="32"/>
          <w:szCs w:val="32"/>
        </w:rPr>
        <w:t>Local Developm</w:t>
      </w:r>
      <w:bookmarkStart w:id="0" w:name="_GoBack"/>
      <w:bookmarkEnd w:id="0"/>
      <w:r>
        <w:rPr>
          <w:b/>
          <w:sz w:val="32"/>
          <w:szCs w:val="32"/>
        </w:rPr>
        <w:t>ent Plan</w:t>
      </w: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r>
        <w:rPr>
          <w:b/>
          <w:sz w:val="32"/>
          <w:szCs w:val="32"/>
        </w:rPr>
        <w:t>Annual Monitoring Report</w:t>
      </w:r>
    </w:p>
    <w:p w:rsidR="004A6384" w:rsidRDefault="004A6384" w:rsidP="004A6384">
      <w:pPr>
        <w:jc w:val="center"/>
        <w:rPr>
          <w:b/>
          <w:sz w:val="32"/>
          <w:szCs w:val="32"/>
        </w:rPr>
      </w:pPr>
    </w:p>
    <w:p w:rsidR="004A6384" w:rsidRDefault="0016051B" w:rsidP="004A6384">
      <w:pPr>
        <w:jc w:val="center"/>
        <w:rPr>
          <w:b/>
          <w:sz w:val="32"/>
          <w:szCs w:val="32"/>
        </w:rPr>
      </w:pPr>
      <w:r w:rsidRPr="0016051B">
        <w:rPr>
          <w:b/>
          <w:sz w:val="32"/>
          <w:szCs w:val="32"/>
        </w:rPr>
        <w:t>1</w:t>
      </w:r>
      <w:r w:rsidRPr="0016051B">
        <w:rPr>
          <w:b/>
          <w:sz w:val="32"/>
          <w:szCs w:val="32"/>
          <w:vertAlign w:val="superscript"/>
        </w:rPr>
        <w:t>st</w:t>
      </w:r>
      <w:r w:rsidR="007F14C5">
        <w:rPr>
          <w:b/>
          <w:sz w:val="32"/>
          <w:szCs w:val="32"/>
        </w:rPr>
        <w:t xml:space="preserve"> April 2016</w:t>
      </w:r>
      <w:r>
        <w:rPr>
          <w:b/>
          <w:sz w:val="32"/>
          <w:szCs w:val="32"/>
        </w:rPr>
        <w:t xml:space="preserve"> – 31</w:t>
      </w:r>
      <w:r w:rsidRPr="0016051B">
        <w:rPr>
          <w:b/>
          <w:sz w:val="32"/>
          <w:szCs w:val="32"/>
          <w:vertAlign w:val="superscript"/>
        </w:rPr>
        <w:t>st</w:t>
      </w:r>
      <w:r w:rsidR="007F14C5">
        <w:rPr>
          <w:b/>
          <w:sz w:val="32"/>
          <w:szCs w:val="32"/>
        </w:rPr>
        <w:t xml:space="preserve"> March 2017</w:t>
      </w: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7F14C5" w:rsidP="004A6384">
      <w:pPr>
        <w:jc w:val="center"/>
      </w:pPr>
      <w:r>
        <w:t>September 2017</w:t>
      </w:r>
    </w:p>
    <w:p w:rsidR="004A6384" w:rsidRPr="007467EF" w:rsidRDefault="004A6384" w:rsidP="004A6384">
      <w:pPr>
        <w:jc w:val="both"/>
        <w:rPr>
          <w:b/>
          <w:sz w:val="24"/>
          <w:szCs w:val="24"/>
          <w:u w:val="single"/>
        </w:rPr>
      </w:pPr>
      <w:r w:rsidRPr="007467EF">
        <w:rPr>
          <w:b/>
          <w:sz w:val="24"/>
          <w:szCs w:val="24"/>
          <w:u w:val="single"/>
        </w:rPr>
        <w:t>Introduction</w:t>
      </w:r>
    </w:p>
    <w:p w:rsidR="004A6384" w:rsidRPr="00141F26" w:rsidRDefault="0043327C" w:rsidP="0043327C">
      <w:pPr>
        <w:jc w:val="both"/>
      </w:pPr>
      <w:r w:rsidRPr="00141F26">
        <w:t xml:space="preserve">The National Park Authority is required by the Welsh Government to produce </w:t>
      </w:r>
      <w:r w:rsidR="004E4F07" w:rsidRPr="00141F26">
        <w:t xml:space="preserve">and submit </w:t>
      </w:r>
      <w:r w:rsidRPr="00141F26">
        <w:t xml:space="preserve">an Annual Monitoring </w:t>
      </w:r>
      <w:r w:rsidR="003B6D80" w:rsidRPr="00141F26">
        <w:t>Report</w:t>
      </w:r>
      <w:r w:rsidRPr="00141F26">
        <w:t xml:space="preserve"> by 31st October each year following the adoption of the L</w:t>
      </w:r>
      <w:r w:rsidR="003B6D80" w:rsidRPr="00141F26">
        <w:t xml:space="preserve">ocal </w:t>
      </w:r>
      <w:r w:rsidRPr="00141F26">
        <w:t>D</w:t>
      </w:r>
      <w:r w:rsidR="003B6D80" w:rsidRPr="00141F26">
        <w:t xml:space="preserve">evelopment </w:t>
      </w:r>
      <w:r w:rsidR="00A77EBF" w:rsidRPr="00141F26">
        <w:t>P</w:t>
      </w:r>
      <w:r w:rsidR="003B6D80" w:rsidRPr="00141F26">
        <w:t>lan</w:t>
      </w:r>
      <w:r w:rsidR="00A77EBF" w:rsidRPr="00141F26">
        <w:t>.  The report is fundamental in</w:t>
      </w:r>
      <w:r w:rsidRPr="00141F26">
        <w:t xml:space="preserve"> assessing the progress of the L</w:t>
      </w:r>
      <w:r w:rsidR="003B6D80" w:rsidRPr="00141F26">
        <w:t xml:space="preserve">ocal </w:t>
      </w:r>
      <w:r w:rsidRPr="00141F26">
        <w:t>D</w:t>
      </w:r>
      <w:r w:rsidR="003B6D80" w:rsidRPr="00141F26">
        <w:t xml:space="preserve">evelopment </w:t>
      </w:r>
      <w:r w:rsidRPr="00141F26">
        <w:t>P</w:t>
      </w:r>
      <w:r w:rsidR="003B6D80" w:rsidRPr="00141F26">
        <w:t>lan</w:t>
      </w:r>
      <w:r w:rsidRPr="00141F26">
        <w:t xml:space="preserve"> in implementing the</w:t>
      </w:r>
      <w:r w:rsidR="003B6D80" w:rsidRPr="00141F26">
        <w:t xml:space="preserve"> policies contained within the P</w:t>
      </w:r>
      <w:r w:rsidRPr="00141F26">
        <w:t>lan and will allow the National Park</w:t>
      </w:r>
      <w:r w:rsidR="003B6D80" w:rsidRPr="00141F26">
        <w:t xml:space="preserve"> Authority</w:t>
      </w:r>
      <w:r w:rsidRPr="00141F26">
        <w:t xml:space="preserve"> the opportunity to assess the Policies against the most up-to-date information available.  The A</w:t>
      </w:r>
      <w:r w:rsidR="003B6D80" w:rsidRPr="00141F26">
        <w:t xml:space="preserve">nnual </w:t>
      </w:r>
      <w:r w:rsidRPr="00141F26">
        <w:t>M</w:t>
      </w:r>
      <w:r w:rsidR="003B6D80" w:rsidRPr="00141F26">
        <w:t xml:space="preserve">onitoring </w:t>
      </w:r>
      <w:r w:rsidRPr="00141F26">
        <w:t>R</w:t>
      </w:r>
      <w:r w:rsidR="003B6D80" w:rsidRPr="00141F26">
        <w:t>eport</w:t>
      </w:r>
      <w:r w:rsidRPr="00141F26">
        <w:t xml:space="preserve"> also includes the results of the S</w:t>
      </w:r>
      <w:r w:rsidR="003B6D80" w:rsidRPr="00141F26">
        <w:t xml:space="preserve">trategic </w:t>
      </w:r>
      <w:r w:rsidRPr="00141F26">
        <w:t>E</w:t>
      </w:r>
      <w:r w:rsidR="003B6D80" w:rsidRPr="00141F26">
        <w:t xml:space="preserve">nvironmental </w:t>
      </w:r>
      <w:r w:rsidRPr="00141F26">
        <w:t>A</w:t>
      </w:r>
      <w:r w:rsidR="003B6D80" w:rsidRPr="00141F26">
        <w:t>ssessment</w:t>
      </w:r>
      <w:r w:rsidRPr="00141F26">
        <w:t>/S</w:t>
      </w:r>
      <w:r w:rsidR="003B6D80" w:rsidRPr="00141F26">
        <w:t xml:space="preserve">ustainability </w:t>
      </w:r>
      <w:r w:rsidRPr="00141F26">
        <w:t>A</w:t>
      </w:r>
      <w:r w:rsidR="003B6D80" w:rsidRPr="00141F26">
        <w:t>ppraisal</w:t>
      </w:r>
      <w:r w:rsidRPr="00141F26">
        <w:t xml:space="preserve"> </w:t>
      </w:r>
      <w:r w:rsidR="004E4F07" w:rsidRPr="00141F26">
        <w:t xml:space="preserve">as well as </w:t>
      </w:r>
      <w:r w:rsidRPr="00141F26">
        <w:t xml:space="preserve">the </w:t>
      </w:r>
      <w:r w:rsidR="004E4F07" w:rsidRPr="00141F26">
        <w:t>National Park Management Plan monitoring (Appendix 2 and 3).</w:t>
      </w:r>
    </w:p>
    <w:p w:rsidR="004E4F07" w:rsidRPr="00141F26" w:rsidRDefault="004E4F07" w:rsidP="0043327C">
      <w:pPr>
        <w:jc w:val="both"/>
      </w:pPr>
    </w:p>
    <w:p w:rsidR="004E4F07" w:rsidRPr="00141F26" w:rsidRDefault="004E4F07" w:rsidP="0043327C">
      <w:pPr>
        <w:jc w:val="both"/>
      </w:pPr>
      <w:r w:rsidRPr="00141F26">
        <w:t>The monitoring exercise can assist the National Park</w:t>
      </w:r>
      <w:r w:rsidR="003B6D80" w:rsidRPr="00141F26">
        <w:t xml:space="preserve"> Authority</w:t>
      </w:r>
      <w:r w:rsidRPr="00141F26">
        <w:t xml:space="preserve"> to:- </w:t>
      </w:r>
    </w:p>
    <w:p w:rsidR="004E4F07" w:rsidRPr="00141F26" w:rsidRDefault="004E4F07" w:rsidP="0043327C">
      <w:pPr>
        <w:jc w:val="both"/>
      </w:pPr>
    </w:p>
    <w:p w:rsidR="004E4F07" w:rsidRPr="00141F26" w:rsidRDefault="004E4F07" w:rsidP="004E4F07">
      <w:pPr>
        <w:pStyle w:val="ListParagraph"/>
        <w:numPr>
          <w:ilvl w:val="0"/>
          <w:numId w:val="12"/>
        </w:numPr>
        <w:jc w:val="both"/>
      </w:pPr>
      <w:r w:rsidRPr="00141F26">
        <w:lastRenderedPageBreak/>
        <w:t xml:space="preserve">Identify where certain policies are not being successful in delivering their intended objective; </w:t>
      </w:r>
    </w:p>
    <w:p w:rsidR="004E4F07" w:rsidRPr="00141F26" w:rsidRDefault="004E4F07" w:rsidP="004E4F07">
      <w:pPr>
        <w:pStyle w:val="ListParagraph"/>
        <w:numPr>
          <w:ilvl w:val="0"/>
          <w:numId w:val="12"/>
        </w:numPr>
        <w:jc w:val="both"/>
      </w:pPr>
      <w:r w:rsidRPr="00141F26">
        <w:t>Identify gaps in the evidence base, perhaps through a change in the economy, which need to be addressed and reflected in the L</w:t>
      </w:r>
      <w:r w:rsidR="003B6D80" w:rsidRPr="00141F26">
        <w:t xml:space="preserve">ocal </w:t>
      </w:r>
      <w:r w:rsidRPr="00141F26">
        <w:t>D</w:t>
      </w:r>
      <w:r w:rsidR="003B6D80" w:rsidRPr="00141F26">
        <w:t xml:space="preserve">evelopment </w:t>
      </w:r>
      <w:r w:rsidRPr="00141F26">
        <w:t>P</w:t>
      </w:r>
      <w:r w:rsidR="003B6D80" w:rsidRPr="00141F26">
        <w:t>lan</w:t>
      </w:r>
      <w:r w:rsidRPr="00141F26">
        <w:t xml:space="preserve">; </w:t>
      </w:r>
    </w:p>
    <w:p w:rsidR="004E4F07" w:rsidRPr="00141F26" w:rsidRDefault="004E4F07" w:rsidP="004E4F07">
      <w:pPr>
        <w:pStyle w:val="ListParagraph"/>
        <w:numPr>
          <w:ilvl w:val="0"/>
          <w:numId w:val="12"/>
        </w:numPr>
        <w:jc w:val="both"/>
      </w:pPr>
      <w:r w:rsidRPr="00141F26">
        <w:t>Identify areas of success which could be used as an example for change throughout the L</w:t>
      </w:r>
      <w:r w:rsidR="003B6D80" w:rsidRPr="00141F26">
        <w:t xml:space="preserve">ocal </w:t>
      </w:r>
      <w:r w:rsidRPr="00141F26">
        <w:t>D</w:t>
      </w:r>
      <w:r w:rsidR="003B6D80" w:rsidRPr="00141F26">
        <w:t xml:space="preserve">evelopment </w:t>
      </w:r>
      <w:r w:rsidRPr="00141F26">
        <w:t>P</w:t>
      </w:r>
      <w:r w:rsidR="003B6D80" w:rsidRPr="00141F26">
        <w:t>lan</w:t>
      </w:r>
      <w:r w:rsidRPr="00141F26">
        <w:t xml:space="preserve">; </w:t>
      </w:r>
    </w:p>
    <w:p w:rsidR="004E4F07" w:rsidRPr="00141F26" w:rsidRDefault="004E4F07" w:rsidP="004E4F07">
      <w:pPr>
        <w:pStyle w:val="ListParagraph"/>
        <w:numPr>
          <w:ilvl w:val="0"/>
          <w:numId w:val="12"/>
        </w:numPr>
        <w:jc w:val="both"/>
      </w:pPr>
      <w:r w:rsidRPr="00141F26">
        <w:t>State the intended actions that the National Park</w:t>
      </w:r>
      <w:r w:rsidR="003B6D80" w:rsidRPr="00141F26">
        <w:t xml:space="preserve"> Authority</w:t>
      </w:r>
      <w:r w:rsidRPr="00141F26">
        <w:t xml:space="preserve"> will take in rectifying any issues to ensure the successful implementation of the policy or any revision that needs to take place. </w:t>
      </w:r>
    </w:p>
    <w:p w:rsidR="004E4F07" w:rsidRPr="00141F26" w:rsidRDefault="004E4F07" w:rsidP="0043327C">
      <w:pPr>
        <w:jc w:val="both"/>
      </w:pPr>
    </w:p>
    <w:p w:rsidR="004E4F07" w:rsidRPr="00141F26" w:rsidRDefault="004E4F07" w:rsidP="0043327C">
      <w:pPr>
        <w:jc w:val="both"/>
      </w:pPr>
      <w:r w:rsidRPr="00141F26">
        <w:t xml:space="preserve">The National Park Authority has constructed a set of targets and indicators which act as a benchmark against which performance can be measured. Targets may relate to the achievement of certain levels of development and may be set annually or </w:t>
      </w:r>
      <w:r w:rsidR="003B6D80" w:rsidRPr="00141F26">
        <w:t>at an interim point within the P</w:t>
      </w:r>
      <w:r w:rsidRPr="00141F26">
        <w:t>lan period. T</w:t>
      </w:r>
      <w:r w:rsidR="003B6D80" w:rsidRPr="00141F26">
        <w:t>he target for the whole of the P</w:t>
      </w:r>
      <w:r w:rsidRPr="00141F26">
        <w:t>lan is to achieve the implementation of the L</w:t>
      </w:r>
      <w:r w:rsidR="003B6D80" w:rsidRPr="00141F26">
        <w:t xml:space="preserve">ocal </w:t>
      </w:r>
      <w:r w:rsidRPr="00141F26">
        <w:t>D</w:t>
      </w:r>
      <w:r w:rsidR="003B6D80" w:rsidRPr="00141F26">
        <w:t xml:space="preserve">evelopment </w:t>
      </w:r>
      <w:r w:rsidRPr="00141F26">
        <w:t>P</w:t>
      </w:r>
      <w:r w:rsidR="003B6D80" w:rsidRPr="00141F26">
        <w:t>lan</w:t>
      </w:r>
      <w:r w:rsidRPr="00141F26">
        <w:t xml:space="preserve"> Strategy.</w:t>
      </w:r>
    </w:p>
    <w:p w:rsidR="004E4F07" w:rsidRPr="00141F26" w:rsidRDefault="004E4F07" w:rsidP="0043327C">
      <w:pPr>
        <w:jc w:val="both"/>
      </w:pPr>
    </w:p>
    <w:p w:rsidR="006D553B" w:rsidRPr="00141F26" w:rsidRDefault="004E4F07" w:rsidP="0043327C">
      <w:pPr>
        <w:jc w:val="both"/>
      </w:pPr>
      <w:r w:rsidRPr="00141F26">
        <w:t xml:space="preserve">The indicators and targets set out in the Monitoring Framework also give trigger points </w:t>
      </w:r>
      <w:r w:rsidR="003B6D80" w:rsidRPr="00141F26">
        <w:t>to indicate if one part of the P</w:t>
      </w:r>
      <w:r w:rsidRPr="00141F26">
        <w:t>lan is not achieving the desired outcomes. If these triggers are ‘activated’ then the A</w:t>
      </w:r>
      <w:r w:rsidR="003B6D80" w:rsidRPr="00141F26">
        <w:t xml:space="preserve">nnual </w:t>
      </w:r>
      <w:r w:rsidRPr="00141F26">
        <w:t>M</w:t>
      </w:r>
      <w:r w:rsidR="003B6D80" w:rsidRPr="00141F26">
        <w:t xml:space="preserve">onitoring </w:t>
      </w:r>
      <w:r w:rsidRPr="00141F26">
        <w:t>R</w:t>
      </w:r>
      <w:r w:rsidR="003B6D80" w:rsidRPr="00141F26">
        <w:t>eport</w:t>
      </w:r>
      <w:r w:rsidRPr="00141F26">
        <w:t xml:space="preserve"> will consider the necessary action which is required as a result. There are a number of outcomes which could be actioned by the National Park Authority in this event; these will depend on both the level to which the target appears not to have been met and the criticalness of the development to the achievement of the L</w:t>
      </w:r>
      <w:r w:rsidR="003B6D80" w:rsidRPr="00141F26">
        <w:t xml:space="preserve">ocal </w:t>
      </w:r>
      <w:r w:rsidRPr="00141F26">
        <w:t>D</w:t>
      </w:r>
      <w:r w:rsidR="003B6D80" w:rsidRPr="00141F26">
        <w:t xml:space="preserve">evelopment </w:t>
      </w:r>
      <w:r w:rsidRPr="00141F26">
        <w:t>P</w:t>
      </w:r>
      <w:r w:rsidR="003B6D80" w:rsidRPr="00141F26">
        <w:t>lan</w:t>
      </w:r>
      <w:r w:rsidRPr="00141F26">
        <w:t xml:space="preserve"> Strategy. Contextual indicators will also be used in the A</w:t>
      </w:r>
      <w:r w:rsidR="003B6D80" w:rsidRPr="00141F26">
        <w:t xml:space="preserve">nnual </w:t>
      </w:r>
      <w:r w:rsidRPr="00141F26">
        <w:t>M</w:t>
      </w:r>
      <w:r w:rsidR="003B6D80" w:rsidRPr="00141F26">
        <w:t xml:space="preserve">onitoring </w:t>
      </w:r>
      <w:r w:rsidRPr="00141F26">
        <w:t>R</w:t>
      </w:r>
      <w:r w:rsidR="003B6D80" w:rsidRPr="00141F26">
        <w:t>eport</w:t>
      </w:r>
      <w:r w:rsidRPr="00141F26">
        <w:t xml:space="preserve"> to evaluate if it is actually the Plan which is not achieving the targets or if there are external factors (such as the economy or changes in funding sources etc.) which are contributing in this respect and therefore outside of the planning system</w:t>
      </w:r>
      <w:r w:rsidR="003B6D80" w:rsidRPr="00141F26">
        <w:t>’</w:t>
      </w:r>
      <w:r w:rsidRPr="00141F26">
        <w:t xml:space="preserve">s control. </w:t>
      </w:r>
    </w:p>
    <w:p w:rsidR="006D553B" w:rsidRPr="00141F26" w:rsidRDefault="006D553B" w:rsidP="0043327C">
      <w:pPr>
        <w:jc w:val="both"/>
      </w:pPr>
    </w:p>
    <w:p w:rsidR="004E4F07" w:rsidRPr="00141F26" w:rsidRDefault="004E4F07" w:rsidP="0043327C">
      <w:pPr>
        <w:jc w:val="both"/>
      </w:pPr>
      <w:r w:rsidRPr="00141F26">
        <w:t>The following options are available to the National Park</w:t>
      </w:r>
      <w:r w:rsidR="003B6D80" w:rsidRPr="00141F26">
        <w:t xml:space="preserve"> Authority</w:t>
      </w:r>
      <w:r w:rsidRPr="00141F26">
        <w:t xml:space="preserve"> in association with each of the indicators and their triggers. The A</w:t>
      </w:r>
      <w:r w:rsidR="003B6D80" w:rsidRPr="00141F26">
        <w:t xml:space="preserve">nnual </w:t>
      </w:r>
      <w:r w:rsidRPr="00141F26">
        <w:t>M</w:t>
      </w:r>
      <w:r w:rsidR="003B6D80" w:rsidRPr="00141F26">
        <w:t xml:space="preserve">onitoring </w:t>
      </w:r>
      <w:r w:rsidRPr="00141F26">
        <w:t>R</w:t>
      </w:r>
      <w:r w:rsidR="003B6D80" w:rsidRPr="00141F26">
        <w:t>eport</w:t>
      </w:r>
      <w:r w:rsidRPr="00141F26">
        <w:t xml:space="preserve"> will assess the severity of the situation associated with each indicator and recommend a</w:t>
      </w:r>
      <w:r w:rsidR="003B6D80" w:rsidRPr="00141F26">
        <w:t>n appropriate response:</w:t>
      </w:r>
    </w:p>
    <w:p w:rsidR="006D553B" w:rsidRPr="00141F26" w:rsidRDefault="006D553B" w:rsidP="0043327C">
      <w:pPr>
        <w:jc w:val="both"/>
      </w:pPr>
    </w:p>
    <w:p w:rsidR="006D553B" w:rsidRPr="00141F26" w:rsidRDefault="006D553B" w:rsidP="006D553B">
      <w:pPr>
        <w:pStyle w:val="ListParagraph"/>
        <w:numPr>
          <w:ilvl w:val="0"/>
          <w:numId w:val="13"/>
        </w:numPr>
        <w:jc w:val="both"/>
      </w:pPr>
      <w:r w:rsidRPr="00141F26">
        <w:lastRenderedPageBreak/>
        <w:t>Continue Monitoring</w:t>
      </w:r>
    </w:p>
    <w:p w:rsidR="006D553B" w:rsidRPr="00141F26" w:rsidRDefault="006D553B" w:rsidP="006D553B">
      <w:pPr>
        <w:pStyle w:val="ListParagraph"/>
        <w:numPr>
          <w:ilvl w:val="0"/>
          <w:numId w:val="13"/>
        </w:numPr>
        <w:jc w:val="both"/>
      </w:pPr>
      <w:r w:rsidRPr="00141F26">
        <w:t>Officer/Member Training Required</w:t>
      </w:r>
    </w:p>
    <w:p w:rsidR="006D553B" w:rsidRPr="00141F26" w:rsidRDefault="006D553B" w:rsidP="006D553B">
      <w:pPr>
        <w:pStyle w:val="ListParagraph"/>
        <w:numPr>
          <w:ilvl w:val="0"/>
          <w:numId w:val="13"/>
        </w:numPr>
        <w:jc w:val="both"/>
      </w:pPr>
      <w:r w:rsidRPr="00141F26">
        <w:t>Supplementary Planning Guidance/Development Briefs Required</w:t>
      </w:r>
    </w:p>
    <w:p w:rsidR="006D553B" w:rsidRPr="00141F26" w:rsidRDefault="006D553B" w:rsidP="006D553B">
      <w:pPr>
        <w:pStyle w:val="ListParagraph"/>
        <w:numPr>
          <w:ilvl w:val="0"/>
          <w:numId w:val="13"/>
        </w:numPr>
        <w:jc w:val="both"/>
      </w:pPr>
      <w:r w:rsidRPr="00141F26">
        <w:t>Policy Research</w:t>
      </w:r>
    </w:p>
    <w:p w:rsidR="006D553B" w:rsidRPr="00141F26" w:rsidRDefault="006D553B" w:rsidP="006D553B">
      <w:pPr>
        <w:pStyle w:val="ListParagraph"/>
        <w:numPr>
          <w:ilvl w:val="0"/>
          <w:numId w:val="13"/>
        </w:numPr>
        <w:jc w:val="both"/>
      </w:pPr>
      <w:r w:rsidRPr="00141F26">
        <w:t>Policy Review</w:t>
      </w:r>
    </w:p>
    <w:p w:rsidR="006D553B" w:rsidRPr="00141F26" w:rsidRDefault="006D553B" w:rsidP="006D553B">
      <w:pPr>
        <w:pStyle w:val="ListParagraph"/>
        <w:numPr>
          <w:ilvl w:val="0"/>
          <w:numId w:val="13"/>
        </w:numPr>
        <w:jc w:val="both"/>
      </w:pPr>
      <w:r w:rsidRPr="00141F26">
        <w:t>Plan/Strategy Review</w:t>
      </w:r>
    </w:p>
    <w:p w:rsidR="004A6384" w:rsidRPr="00141F26" w:rsidRDefault="004A6384" w:rsidP="004A6384">
      <w:pPr>
        <w:jc w:val="both"/>
      </w:pPr>
    </w:p>
    <w:p w:rsidR="006D553B" w:rsidRPr="00141F26" w:rsidRDefault="006D553B" w:rsidP="006D553B">
      <w:pPr>
        <w:jc w:val="both"/>
      </w:pPr>
      <w:r w:rsidRPr="00141F26">
        <w:t>As part of the A</w:t>
      </w:r>
      <w:r w:rsidR="003B6D80" w:rsidRPr="00141F26">
        <w:t xml:space="preserve">nnual </w:t>
      </w:r>
      <w:r w:rsidRPr="00141F26">
        <w:t>M</w:t>
      </w:r>
      <w:r w:rsidR="003B6D80" w:rsidRPr="00141F26">
        <w:t xml:space="preserve">onitoring </w:t>
      </w:r>
      <w:r w:rsidRPr="00141F26">
        <w:t>R</w:t>
      </w:r>
      <w:r w:rsidR="003B6D80" w:rsidRPr="00141F26">
        <w:t>eport</w:t>
      </w:r>
      <w:r w:rsidRPr="00141F26">
        <w:t xml:space="preserve"> process, the National Park Authority will also include an update on the development of allocated sites. This will highlight what activity has taken place on the site in any given year including the preparation of studies or the progression of development. If a site is not being progressed as anticipated, this will be interpreted as a trigger and appropriate action (see above) will be taken by the National Park</w:t>
      </w:r>
      <w:r w:rsidR="003B6D80" w:rsidRPr="00141F26">
        <w:t xml:space="preserve"> Authority</w:t>
      </w:r>
      <w:r w:rsidRPr="00141F26">
        <w:t xml:space="preserve"> if needed.</w:t>
      </w:r>
    </w:p>
    <w:p w:rsidR="004D5B62" w:rsidRPr="00ED5D2F" w:rsidRDefault="004D5B62" w:rsidP="004A6384">
      <w:pPr>
        <w:jc w:val="both"/>
        <w:rPr>
          <w:b/>
          <w:color w:val="FF0000"/>
          <w:sz w:val="24"/>
          <w:szCs w:val="24"/>
        </w:rPr>
      </w:pPr>
    </w:p>
    <w:p w:rsidR="004A6384" w:rsidRPr="00141F26" w:rsidRDefault="007C208A" w:rsidP="004A6384">
      <w:pPr>
        <w:jc w:val="both"/>
        <w:rPr>
          <w:b/>
          <w:sz w:val="24"/>
          <w:szCs w:val="24"/>
          <w:u w:val="single"/>
        </w:rPr>
      </w:pPr>
      <w:r w:rsidRPr="00141F26">
        <w:rPr>
          <w:b/>
          <w:sz w:val="24"/>
          <w:szCs w:val="24"/>
          <w:u w:val="single"/>
        </w:rPr>
        <w:t>Executive Summary</w:t>
      </w:r>
    </w:p>
    <w:p w:rsidR="00CE23FE" w:rsidRPr="00141F26" w:rsidRDefault="00CE23FE" w:rsidP="00CE23FE">
      <w:pPr>
        <w:jc w:val="both"/>
      </w:pPr>
      <w:r w:rsidRPr="00141F26">
        <w:t>The Strategic Environmental Assessment directive requires that the significant environmental effects of implementing a plan are monitored so that the appropriate remedial actions can be taken if required. The Sustainability Appraisal of the Local Development Plan identified no significant adverse effects on the objectives; however, it identified significant positive effects which require monitoring.</w:t>
      </w:r>
    </w:p>
    <w:p w:rsidR="00CE23FE" w:rsidRPr="00ED5D2F" w:rsidRDefault="00CE23FE" w:rsidP="00CE23FE">
      <w:pPr>
        <w:jc w:val="both"/>
        <w:rPr>
          <w:color w:val="FF0000"/>
        </w:rPr>
      </w:pPr>
    </w:p>
    <w:p w:rsidR="00CE23FE" w:rsidRPr="00ED5D2F" w:rsidRDefault="00CE23FE" w:rsidP="00CE23FE">
      <w:pPr>
        <w:jc w:val="both"/>
        <w:rPr>
          <w:color w:val="FF0000"/>
        </w:rPr>
      </w:pPr>
      <w:r w:rsidRPr="00141F26">
        <w:t xml:space="preserve">Also included in the Annual Monitoring Report is an update on the development of allocated sites. This highlights what activity has taken place on the site in any given year including the preparation of studies or the progression of development.  </w:t>
      </w:r>
      <w:r w:rsidR="00141F26" w:rsidRPr="00141F26">
        <w:t>It is noted that 10</w:t>
      </w:r>
      <w:r w:rsidRPr="00141F26">
        <w:t xml:space="preserve"> allocated housing sites for the first 5 year period have been progressed to the plan</w:t>
      </w:r>
      <w:r w:rsidR="00141F26" w:rsidRPr="00141F26">
        <w:t>ning application stage, with 4</w:t>
      </w:r>
      <w:r w:rsidRPr="00141F26">
        <w:t xml:space="preserve"> developers having commenced development on site.  Officers have written to landowners to advise them that failure to progress these sites through the planning system may result in their de-allocation during the Review stage.  Understandably, there has been less activity in relation to later sites with four being prog</w:t>
      </w:r>
      <w:r w:rsidR="00141F26" w:rsidRPr="00141F26">
        <w:t xml:space="preserve">ressed to an application stage – one is minded to permit subject to a Section 106 Agreement and two have been permitted.  Of the two permissions granted, one has commenced development on site.  </w:t>
      </w:r>
      <w:r w:rsidRPr="00141F26">
        <w:lastRenderedPageBreak/>
        <w:t>Whilst the Authority appreciates that a number of these sites are restricted by a lack of water infrastructure, Officers intend to contact the landowners in order to seek an update together with a likely timeframe for the progression of the site through the planning process.  Looking at the allocated mixed use sites, three Development Briefs have been adopted and one brief is in the process of being prepared by the landowner.</w:t>
      </w:r>
    </w:p>
    <w:p w:rsidR="00CE23FE" w:rsidRPr="00141F26" w:rsidRDefault="00CE23FE" w:rsidP="00CE23FE">
      <w:pPr>
        <w:jc w:val="both"/>
      </w:pPr>
    </w:p>
    <w:p w:rsidR="00CE23FE" w:rsidRPr="00DF1485" w:rsidRDefault="00CE23FE" w:rsidP="00CE23FE">
      <w:pPr>
        <w:jc w:val="both"/>
      </w:pPr>
      <w:r w:rsidRPr="00141F26">
        <w:t xml:space="preserve">The requirements of a number of the </w:t>
      </w:r>
      <w:r w:rsidR="00ED2892" w:rsidRPr="00141F26">
        <w:t>strateg</w:t>
      </w:r>
      <w:r w:rsidRPr="00141F26">
        <w:t>ic and policy indicators were completed during the first monitoring phase of the Local Development Plan, namely the occupation of the allocated Gypsy and Traveller site and the development of numerous Supplementar</w:t>
      </w:r>
      <w:r w:rsidR="00141F26">
        <w:t>y Planning Guidance notes.  During the second phase i</w:t>
      </w:r>
      <w:r w:rsidR="00ED2892" w:rsidRPr="00141F26">
        <w:t>t wa</w:t>
      </w:r>
      <w:r w:rsidR="00141F26">
        <w:t xml:space="preserve">s </w:t>
      </w:r>
      <w:r w:rsidRPr="00141F26">
        <w:t>re</w:t>
      </w:r>
      <w:r w:rsidR="00141F26">
        <w:t>commended that monitoring ceased</w:t>
      </w:r>
      <w:r w:rsidRPr="00141F26">
        <w:t xml:space="preserve"> in relation to the number of applications </w:t>
      </w:r>
      <w:r w:rsidRPr="00DF1485">
        <w:t>for larger developments that fail to provide 20% of their energy from low or zero carbon resources.</w:t>
      </w:r>
      <w:r w:rsidR="00ED2892" w:rsidRPr="00DF1485">
        <w:t xml:space="preserve">  </w:t>
      </w:r>
    </w:p>
    <w:p w:rsidR="00CE23FE" w:rsidRPr="00DF1485" w:rsidRDefault="00CE23FE" w:rsidP="00CE23FE">
      <w:pPr>
        <w:jc w:val="both"/>
      </w:pPr>
    </w:p>
    <w:p w:rsidR="008141E1" w:rsidRPr="00DF1485" w:rsidRDefault="00CE23FE" w:rsidP="00CE23FE">
      <w:pPr>
        <w:jc w:val="both"/>
      </w:pPr>
      <w:r w:rsidRPr="00DF1485">
        <w:t xml:space="preserve">Notwithstanding this, the vast majority of the strategic and policy indicators, as required by the Local Development Plan Monitoring Framework, will continue to be monitored as detailed in the tables marked green and yellow below.  Of these, there is a small number that require some additional work in </w:t>
      </w:r>
      <w:r w:rsidR="00ED2892" w:rsidRPr="00DF1485">
        <w:t>the form of policy research as well as possible</w:t>
      </w:r>
      <w:r w:rsidRPr="00DF1485">
        <w:t xml:space="preserve"> Officer/Member training</w:t>
      </w:r>
      <w:r w:rsidR="00ED2892" w:rsidRPr="00DF1485">
        <w:t xml:space="preserve"> and Supplementary Planning Guidance</w:t>
      </w:r>
      <w:r w:rsidRPr="00DF1485">
        <w:t>.</w:t>
      </w:r>
      <w:r w:rsidR="00DF1485">
        <w:t xml:space="preserve">  A single indicator, relating to the supply of housing land, was marked as red as a result of the supply falling below the 5 year mark (4.8).   Whilst this is a concern, </w:t>
      </w:r>
      <w:r w:rsidR="00DF1485" w:rsidRPr="00DF1485">
        <w:t>falling just 0.2 below the threshold would not, on its own, be significant enough</w:t>
      </w:r>
      <w:r w:rsidR="00DF1485">
        <w:t xml:space="preserve"> to trigger a Review.  However</w:t>
      </w:r>
      <w:r w:rsidR="00DF1485" w:rsidRPr="00DF1485">
        <w:t>, the Authority is due to formally commence Review of the LDP in December</w:t>
      </w:r>
      <w:r w:rsidR="00DF1485">
        <w:t xml:space="preserve"> 2017 </w:t>
      </w:r>
      <w:r w:rsidR="00DF1485" w:rsidRPr="00DF1485">
        <w:t>as a result of 4 years elapsing since its Adoption in December 2013.</w:t>
      </w:r>
    </w:p>
    <w:p w:rsidR="00CE23FE" w:rsidRPr="00ED5D2F" w:rsidRDefault="00CE23FE" w:rsidP="00CE23FE">
      <w:pPr>
        <w:jc w:val="both"/>
        <w:rPr>
          <w:b/>
          <w:color w:val="FF0000"/>
          <w:sz w:val="24"/>
          <w:szCs w:val="24"/>
        </w:rPr>
      </w:pPr>
    </w:p>
    <w:p w:rsidR="004A6384" w:rsidRPr="007426A0" w:rsidRDefault="004A6384" w:rsidP="004A6384">
      <w:pPr>
        <w:jc w:val="both"/>
        <w:rPr>
          <w:b/>
          <w:sz w:val="24"/>
          <w:szCs w:val="24"/>
        </w:rPr>
      </w:pPr>
      <w:r w:rsidRPr="007426A0">
        <w:rPr>
          <w:b/>
          <w:sz w:val="24"/>
          <w:szCs w:val="24"/>
          <w:u w:val="single"/>
        </w:rPr>
        <w:t>Sustainability Monitoring</w:t>
      </w:r>
      <w:r w:rsidRPr="007426A0">
        <w:rPr>
          <w:b/>
          <w:sz w:val="24"/>
          <w:szCs w:val="24"/>
        </w:rPr>
        <w:t xml:space="preserve"> </w:t>
      </w:r>
    </w:p>
    <w:p w:rsidR="004A6384" w:rsidRPr="007426A0" w:rsidRDefault="006B64AA" w:rsidP="004A6384">
      <w:pPr>
        <w:jc w:val="both"/>
      </w:pPr>
      <w:r w:rsidRPr="007426A0">
        <w:t>The S</w:t>
      </w:r>
      <w:r w:rsidR="0030780F" w:rsidRPr="007426A0">
        <w:t xml:space="preserve">trategic </w:t>
      </w:r>
      <w:r w:rsidRPr="007426A0">
        <w:t>E</w:t>
      </w:r>
      <w:r w:rsidR="0030780F" w:rsidRPr="007426A0">
        <w:t xml:space="preserve">nvironmental </w:t>
      </w:r>
      <w:r w:rsidRPr="007426A0">
        <w:t>A</w:t>
      </w:r>
      <w:r w:rsidR="0030780F" w:rsidRPr="007426A0">
        <w:t>ssessment</w:t>
      </w:r>
      <w:r w:rsidRPr="007426A0">
        <w:t xml:space="preserve"> directive requires that the significant environmental effects of implementing a plan are monitored so that the appropriate remedial actions can be taken if required.</w:t>
      </w:r>
    </w:p>
    <w:p w:rsidR="006B64AA" w:rsidRPr="007426A0" w:rsidRDefault="006B64AA" w:rsidP="004A6384">
      <w:pPr>
        <w:jc w:val="both"/>
      </w:pPr>
    </w:p>
    <w:p w:rsidR="006B64AA" w:rsidRPr="007426A0" w:rsidRDefault="006B64AA" w:rsidP="004A6384">
      <w:pPr>
        <w:jc w:val="both"/>
      </w:pPr>
      <w:r w:rsidRPr="007426A0">
        <w:t>The S</w:t>
      </w:r>
      <w:r w:rsidR="0030780F" w:rsidRPr="007426A0">
        <w:t xml:space="preserve">ustainability </w:t>
      </w:r>
      <w:r w:rsidRPr="007426A0">
        <w:t>A</w:t>
      </w:r>
      <w:r w:rsidR="0030780F" w:rsidRPr="007426A0">
        <w:t>ppraisal</w:t>
      </w:r>
      <w:r w:rsidRPr="007426A0">
        <w:t xml:space="preserve"> of the L</w:t>
      </w:r>
      <w:r w:rsidR="0030780F" w:rsidRPr="007426A0">
        <w:t xml:space="preserve">ocal </w:t>
      </w:r>
      <w:r w:rsidRPr="007426A0">
        <w:t>D</w:t>
      </w:r>
      <w:r w:rsidR="0030780F" w:rsidRPr="007426A0">
        <w:t xml:space="preserve">evelopment </w:t>
      </w:r>
      <w:r w:rsidRPr="007426A0">
        <w:t>P</w:t>
      </w:r>
      <w:r w:rsidR="0030780F" w:rsidRPr="007426A0">
        <w:t>lan</w:t>
      </w:r>
      <w:r w:rsidRPr="007426A0">
        <w:t xml:space="preserve"> identified no significant adverse effects on the objectives, however it identified the following significant positive effects which require monitoring.</w:t>
      </w:r>
    </w:p>
    <w:p w:rsidR="006B64AA" w:rsidRPr="007426A0" w:rsidRDefault="006B64AA" w:rsidP="004A6384">
      <w:pPr>
        <w:jc w:val="both"/>
      </w:pPr>
    </w:p>
    <w:p w:rsidR="004A6384" w:rsidRPr="007426A0" w:rsidRDefault="006B64AA" w:rsidP="004A6384">
      <w:pPr>
        <w:pStyle w:val="ListParagraph"/>
        <w:numPr>
          <w:ilvl w:val="0"/>
          <w:numId w:val="4"/>
        </w:numPr>
        <w:jc w:val="both"/>
        <w:rPr>
          <w:b/>
        </w:rPr>
      </w:pPr>
      <w:r w:rsidRPr="007426A0">
        <w:t>Climate Change Adaptation (SA1) and Greenhouse Gas Reduction (SA2) related to Policies SP4: ‘Climate Change’ and SP11: ‘Sustainable Design’;</w:t>
      </w:r>
    </w:p>
    <w:p w:rsidR="006B64AA" w:rsidRPr="007426A0" w:rsidRDefault="006B64AA" w:rsidP="004A6384">
      <w:pPr>
        <w:pStyle w:val="ListParagraph"/>
        <w:numPr>
          <w:ilvl w:val="0"/>
          <w:numId w:val="4"/>
        </w:numPr>
        <w:jc w:val="both"/>
        <w:rPr>
          <w:b/>
        </w:rPr>
      </w:pPr>
      <w:r w:rsidRPr="007426A0">
        <w:t xml:space="preserve">Water Resources (SA5) through the policy on Water </w:t>
      </w:r>
      <w:r w:rsidR="004D7D50" w:rsidRPr="007426A0">
        <w:t>Quality</w:t>
      </w:r>
      <w:r w:rsidRPr="007426A0">
        <w:t xml:space="preserve"> (Policy </w:t>
      </w:r>
      <w:r w:rsidR="004D7D50" w:rsidRPr="007426A0">
        <w:t>10</w:t>
      </w:r>
      <w:r w:rsidRPr="007426A0">
        <w:t>);</w:t>
      </w:r>
    </w:p>
    <w:p w:rsidR="006B64AA" w:rsidRPr="007426A0" w:rsidRDefault="006B64AA" w:rsidP="004A6384">
      <w:pPr>
        <w:pStyle w:val="ListParagraph"/>
        <w:numPr>
          <w:ilvl w:val="0"/>
          <w:numId w:val="4"/>
        </w:numPr>
        <w:jc w:val="both"/>
        <w:rPr>
          <w:b/>
        </w:rPr>
      </w:pPr>
      <w:r w:rsidRPr="007426A0">
        <w:t xml:space="preserve">Biodiversity (SA8) in relation to SP1 </w:t>
      </w:r>
      <w:r w:rsidR="004D7D50" w:rsidRPr="007426A0">
        <w:t>National Park Policy</w:t>
      </w:r>
      <w:r w:rsidRPr="007426A0">
        <w:t xml:space="preserve"> and SP3 Environmental Protection, including its supporting policy on Biodiversity and Development (Policy </w:t>
      </w:r>
      <w:r w:rsidR="004D7D50" w:rsidRPr="007426A0">
        <w:t>6</w:t>
      </w:r>
      <w:r w:rsidRPr="007426A0">
        <w:t>);</w:t>
      </w:r>
    </w:p>
    <w:p w:rsidR="006B64AA" w:rsidRPr="007426A0" w:rsidRDefault="006B64AA" w:rsidP="004A6384">
      <w:pPr>
        <w:pStyle w:val="ListParagraph"/>
        <w:numPr>
          <w:ilvl w:val="0"/>
          <w:numId w:val="4"/>
        </w:numPr>
        <w:jc w:val="both"/>
        <w:rPr>
          <w:b/>
        </w:rPr>
      </w:pPr>
      <w:r w:rsidRPr="007426A0">
        <w:t xml:space="preserve">Cultural Heritage (SA9) in relation to SP1 (National Park Policy) and SP3 </w:t>
      </w:r>
      <w:r w:rsidR="004D7D50" w:rsidRPr="007426A0">
        <w:t>Environmental</w:t>
      </w:r>
      <w:r w:rsidRPr="007426A0">
        <w:t xml:space="preserve"> Protection, including its supporting policy on Are</w:t>
      </w:r>
      <w:r w:rsidR="004D7D50" w:rsidRPr="007426A0">
        <w:t>as of Archaeological Evaluation (Policy 22).</w:t>
      </w:r>
    </w:p>
    <w:p w:rsidR="006B64AA" w:rsidRPr="007426A0" w:rsidRDefault="006B64AA" w:rsidP="004A6384">
      <w:pPr>
        <w:pStyle w:val="ListParagraph"/>
        <w:numPr>
          <w:ilvl w:val="0"/>
          <w:numId w:val="4"/>
        </w:numPr>
        <w:jc w:val="both"/>
        <w:rPr>
          <w:b/>
        </w:rPr>
      </w:pPr>
      <w:r w:rsidRPr="007426A0">
        <w:t xml:space="preserve">Landscape SA11 in relation to SP1 (National Park Policy) and SP3 Environmental Protection, including its supporting policies Trees and Development (Policy </w:t>
      </w:r>
      <w:r w:rsidR="004D7D50" w:rsidRPr="007426A0">
        <w:t>8</w:t>
      </w:r>
      <w:r w:rsidRPr="007426A0">
        <w:t>) and Light Pollution (Policy 6)</w:t>
      </w:r>
    </w:p>
    <w:p w:rsidR="004105B4" w:rsidRPr="007426A0" w:rsidRDefault="004105B4" w:rsidP="004A6384">
      <w:pPr>
        <w:pStyle w:val="ListParagraph"/>
        <w:numPr>
          <w:ilvl w:val="0"/>
          <w:numId w:val="4"/>
        </w:numPr>
        <w:jc w:val="both"/>
        <w:rPr>
          <w:b/>
        </w:rPr>
      </w:pPr>
      <w:r w:rsidRPr="007426A0">
        <w:t>Natural Resources and Infrastructure (SA12) through policies on Sustainable Design (SP11), Sustainable Infrastructure (SP16), Waste (SP6) and the recycling of minerals (Policy</w:t>
      </w:r>
      <w:r w:rsidR="004D7D50" w:rsidRPr="007426A0">
        <w:t xml:space="preserve"> 67</w:t>
      </w:r>
      <w:r w:rsidRPr="007426A0">
        <w:t>)</w:t>
      </w:r>
    </w:p>
    <w:p w:rsidR="004105B4" w:rsidRPr="007426A0" w:rsidRDefault="004105B4" w:rsidP="004A6384">
      <w:pPr>
        <w:pStyle w:val="ListParagraph"/>
        <w:numPr>
          <w:ilvl w:val="0"/>
          <w:numId w:val="4"/>
        </w:numPr>
        <w:jc w:val="both"/>
        <w:rPr>
          <w:b/>
        </w:rPr>
      </w:pPr>
      <w:r w:rsidRPr="007426A0">
        <w:t>Population (SA14) in relation to the Spatial Distribu</w:t>
      </w:r>
      <w:r w:rsidR="00E879B7" w:rsidRPr="007426A0">
        <w:t>tion of Development (SP10), Nati</w:t>
      </w:r>
      <w:r w:rsidRPr="007426A0">
        <w:t>onal Park policy (SP1) and policies relating to housing (SP5), affordable housing (SP6), economic wellbeing (SP12) and Sustainable communities (SP15); and</w:t>
      </w:r>
    </w:p>
    <w:p w:rsidR="004105B4" w:rsidRPr="007426A0" w:rsidRDefault="004105B4" w:rsidP="004A6384">
      <w:pPr>
        <w:pStyle w:val="ListParagraph"/>
        <w:numPr>
          <w:ilvl w:val="0"/>
          <w:numId w:val="4"/>
        </w:numPr>
        <w:jc w:val="both"/>
        <w:rPr>
          <w:b/>
        </w:rPr>
      </w:pPr>
      <w:r w:rsidRPr="007426A0">
        <w:t xml:space="preserve">Economy (SA17) in relation to National Park policy (SP1) and </w:t>
      </w:r>
      <w:r w:rsidR="004D7D50" w:rsidRPr="007426A0">
        <w:t>polices</w:t>
      </w:r>
      <w:r w:rsidRPr="007426A0">
        <w:t xml:space="preserve"> relating to economic wellbeing (SP12) and retail (SP13).</w:t>
      </w:r>
    </w:p>
    <w:p w:rsidR="004A6384" w:rsidRPr="007426A0" w:rsidRDefault="004A6384" w:rsidP="004A6384">
      <w:pPr>
        <w:jc w:val="both"/>
      </w:pPr>
    </w:p>
    <w:p w:rsidR="004D7D50" w:rsidRPr="007426A0" w:rsidRDefault="004D7D50" w:rsidP="004A6384">
      <w:pPr>
        <w:jc w:val="both"/>
      </w:pPr>
      <w:r w:rsidRPr="007426A0">
        <w:t>The L</w:t>
      </w:r>
      <w:r w:rsidR="0030780F" w:rsidRPr="007426A0">
        <w:t xml:space="preserve">ocal </w:t>
      </w:r>
      <w:r w:rsidRPr="007426A0">
        <w:t>D</w:t>
      </w:r>
      <w:r w:rsidR="0030780F" w:rsidRPr="007426A0">
        <w:t xml:space="preserve">evelopment </w:t>
      </w:r>
      <w:r w:rsidRPr="007426A0">
        <w:t>P</w:t>
      </w:r>
      <w:r w:rsidR="0030780F" w:rsidRPr="007426A0">
        <w:t>lan</w:t>
      </w:r>
      <w:r w:rsidRPr="007426A0">
        <w:t xml:space="preserve"> adopted Monitoring framework </w:t>
      </w:r>
      <w:r w:rsidR="00E947E8" w:rsidRPr="007426A0">
        <w:t xml:space="preserve">set out below </w:t>
      </w:r>
      <w:r w:rsidRPr="007426A0">
        <w:t xml:space="preserve">addresses </w:t>
      </w:r>
      <w:r w:rsidR="00A97E31" w:rsidRPr="007426A0">
        <w:t xml:space="preserve">some of </w:t>
      </w:r>
      <w:r w:rsidRPr="007426A0">
        <w:t>the monitoring requirements for the SA/S</w:t>
      </w:r>
      <w:r w:rsidR="00E879B7" w:rsidRPr="007426A0">
        <w:t>E</w:t>
      </w:r>
      <w:r w:rsidRPr="007426A0">
        <w:t>A</w:t>
      </w:r>
      <w:r w:rsidR="00E947E8" w:rsidRPr="007426A0">
        <w:t>.  A</w:t>
      </w:r>
      <w:r w:rsidRPr="007426A0">
        <w:t>dditional indicators ar</w:t>
      </w:r>
      <w:r w:rsidR="000E39D6" w:rsidRPr="007426A0">
        <w:t>e provided within the SA to ensure that all significant effects in the SA can be monitored.  These</w:t>
      </w:r>
      <w:r w:rsidR="00D006CF" w:rsidRPr="007426A0">
        <w:t>,</w:t>
      </w:r>
      <w:r w:rsidR="000E39D6" w:rsidRPr="007426A0">
        <w:t xml:space="preserve"> where relevant</w:t>
      </w:r>
      <w:r w:rsidR="00D006CF" w:rsidRPr="007426A0">
        <w:t xml:space="preserve"> and </w:t>
      </w:r>
      <w:r w:rsidR="000E39D6" w:rsidRPr="007426A0">
        <w:t>wher</w:t>
      </w:r>
      <w:r w:rsidR="00E947E8" w:rsidRPr="007426A0">
        <w:t>e data is available at N</w:t>
      </w:r>
      <w:r w:rsidR="00A97E31" w:rsidRPr="007426A0">
        <w:t xml:space="preserve">ational </w:t>
      </w:r>
      <w:r w:rsidR="00E947E8" w:rsidRPr="007426A0">
        <w:t>P</w:t>
      </w:r>
      <w:r w:rsidR="00A97E31" w:rsidRPr="007426A0">
        <w:t>ark</w:t>
      </w:r>
      <w:r w:rsidR="00E947E8" w:rsidRPr="007426A0">
        <w:t xml:space="preserve"> level, are provided at Appendix 2.</w:t>
      </w:r>
    </w:p>
    <w:p w:rsidR="000E39D6" w:rsidRDefault="000E39D6" w:rsidP="004A6384">
      <w:pPr>
        <w:jc w:val="both"/>
        <w:rPr>
          <w:sz w:val="24"/>
          <w:szCs w:val="24"/>
        </w:rPr>
      </w:pPr>
    </w:p>
    <w:p w:rsidR="004A6384" w:rsidRDefault="004A6384" w:rsidP="004A6384">
      <w:pPr>
        <w:jc w:val="both"/>
        <w:rPr>
          <w:b/>
          <w:sz w:val="24"/>
          <w:szCs w:val="24"/>
        </w:rPr>
      </w:pPr>
    </w:p>
    <w:p w:rsidR="004A6384" w:rsidRPr="007467EF" w:rsidRDefault="004A6384" w:rsidP="004A6384">
      <w:pPr>
        <w:jc w:val="both"/>
        <w:rPr>
          <w:b/>
          <w:sz w:val="24"/>
          <w:szCs w:val="24"/>
          <w:u w:val="single"/>
        </w:rPr>
      </w:pPr>
      <w:r w:rsidRPr="007467EF">
        <w:rPr>
          <w:b/>
          <w:sz w:val="24"/>
          <w:szCs w:val="24"/>
          <w:u w:val="single"/>
        </w:rPr>
        <w:t xml:space="preserve">Strategy Monitoring </w:t>
      </w:r>
    </w:p>
    <w:p w:rsidR="004A6384" w:rsidRDefault="004A6384" w:rsidP="004A6384">
      <w:pPr>
        <w:jc w:val="both"/>
        <w:rPr>
          <w:b/>
          <w:sz w:val="24"/>
          <w:szCs w:val="24"/>
        </w:rPr>
      </w:pPr>
    </w:p>
    <w:p w:rsidR="007467EF" w:rsidRDefault="007467EF" w:rsidP="004A6384">
      <w:pPr>
        <w:jc w:val="both"/>
        <w:rPr>
          <w:b/>
          <w:sz w:val="24"/>
          <w:szCs w:val="24"/>
        </w:rPr>
      </w:pPr>
      <w:r>
        <w:rPr>
          <w:b/>
          <w:sz w:val="24"/>
          <w:szCs w:val="24"/>
        </w:rPr>
        <w:t>Key:</w:t>
      </w:r>
    </w:p>
    <w:tbl>
      <w:tblPr>
        <w:tblStyle w:val="TableGrid"/>
        <w:tblW w:w="0" w:type="auto"/>
        <w:tblLook w:val="04A0" w:firstRow="1" w:lastRow="0" w:firstColumn="1" w:lastColumn="0" w:noHBand="0" w:noVBand="1"/>
      </w:tblPr>
      <w:tblGrid>
        <w:gridCol w:w="1488"/>
        <w:gridCol w:w="7528"/>
      </w:tblGrid>
      <w:tr w:rsidR="007467EF" w:rsidTr="007467EF">
        <w:tc>
          <w:tcPr>
            <w:tcW w:w="1526" w:type="dxa"/>
            <w:shd w:val="clear" w:color="auto" w:fill="00B0F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Complete</w:t>
            </w:r>
          </w:p>
        </w:tc>
      </w:tr>
      <w:tr w:rsidR="007467EF" w:rsidTr="007467EF">
        <w:tc>
          <w:tcPr>
            <w:tcW w:w="1526" w:type="dxa"/>
            <w:shd w:val="clear" w:color="auto" w:fill="00B05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Continue Monitoring</w:t>
            </w:r>
          </w:p>
        </w:tc>
      </w:tr>
      <w:tr w:rsidR="007467EF" w:rsidTr="007467EF">
        <w:tc>
          <w:tcPr>
            <w:tcW w:w="1526" w:type="dxa"/>
            <w:shd w:val="clear" w:color="auto" w:fill="FFFF0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Policy Research / SPG / Officer and Member Training</w:t>
            </w:r>
          </w:p>
        </w:tc>
      </w:tr>
      <w:tr w:rsidR="007467EF" w:rsidTr="007467EF">
        <w:tc>
          <w:tcPr>
            <w:tcW w:w="1526" w:type="dxa"/>
            <w:shd w:val="clear" w:color="auto" w:fill="808080" w:themeFill="background1" w:themeFillShade="8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Cease Monitoring</w:t>
            </w:r>
          </w:p>
        </w:tc>
      </w:tr>
    </w:tbl>
    <w:p w:rsidR="007467EF" w:rsidRDefault="007467EF" w:rsidP="004A6384">
      <w:pPr>
        <w:jc w:val="both"/>
        <w:rPr>
          <w:b/>
          <w:sz w:val="24"/>
          <w:szCs w:val="24"/>
        </w:rPr>
      </w:pPr>
    </w:p>
    <w:p w:rsidR="007467EF" w:rsidRDefault="007467EF" w:rsidP="004A6384">
      <w:pPr>
        <w:jc w:val="both"/>
        <w:rPr>
          <w:b/>
          <w:sz w:val="24"/>
          <w:szCs w:val="24"/>
        </w:rPr>
      </w:pPr>
    </w:p>
    <w:p w:rsidR="004A6384" w:rsidRPr="007467EF" w:rsidRDefault="004668D1" w:rsidP="007467EF">
      <w:pPr>
        <w:jc w:val="both"/>
        <w:rPr>
          <w:b/>
          <w:sz w:val="24"/>
          <w:szCs w:val="24"/>
        </w:rPr>
      </w:pPr>
      <w:r w:rsidRPr="007467EF">
        <w:rPr>
          <w:b/>
          <w:sz w:val="24"/>
          <w:szCs w:val="24"/>
        </w:rPr>
        <w:t>Delivering Housing</w:t>
      </w:r>
    </w:p>
    <w:p w:rsidR="005519EF" w:rsidRDefault="00FA730F" w:rsidP="005519EF">
      <w:pPr>
        <w:jc w:val="both"/>
        <w:rPr>
          <w:b/>
        </w:rPr>
      </w:pPr>
      <w:r>
        <w:rPr>
          <w:b/>
        </w:rPr>
        <w:t>Figure 1</w:t>
      </w:r>
    </w:p>
    <w:tbl>
      <w:tblPr>
        <w:tblStyle w:val="TableGrid"/>
        <w:tblW w:w="0" w:type="auto"/>
        <w:tblLook w:val="04A0" w:firstRow="1" w:lastRow="0" w:firstColumn="1" w:lastColumn="0" w:noHBand="0" w:noVBand="1"/>
      </w:tblPr>
      <w:tblGrid>
        <w:gridCol w:w="1516"/>
        <w:gridCol w:w="7500"/>
      </w:tblGrid>
      <w:tr w:rsidR="0065308E" w:rsidTr="0016051B">
        <w:tc>
          <w:tcPr>
            <w:tcW w:w="9016" w:type="dxa"/>
            <w:gridSpan w:val="2"/>
            <w:shd w:val="clear" w:color="auto" w:fill="4BACC6" w:themeFill="accent5"/>
          </w:tcPr>
          <w:p w:rsidR="0065308E" w:rsidRPr="0065308E" w:rsidRDefault="0065308E" w:rsidP="0065308E">
            <w:pPr>
              <w:jc w:val="both"/>
              <w:rPr>
                <w:b/>
              </w:rPr>
            </w:pPr>
            <w:r w:rsidRPr="0065308E">
              <w:rPr>
                <w:b/>
              </w:rPr>
              <w:t>Maintain a 5 year land supply</w:t>
            </w:r>
          </w:p>
        </w:tc>
      </w:tr>
      <w:tr w:rsidR="007F14C5" w:rsidTr="007F14C5">
        <w:tc>
          <w:tcPr>
            <w:tcW w:w="1516" w:type="dxa"/>
            <w:vMerge w:val="restart"/>
            <w:shd w:val="clear" w:color="auto" w:fill="FF0000"/>
          </w:tcPr>
          <w:p w:rsidR="007F14C5" w:rsidRDefault="007F14C5" w:rsidP="005519EF">
            <w:pPr>
              <w:jc w:val="center"/>
              <w:rPr>
                <w:b/>
              </w:rPr>
            </w:pPr>
            <w:r>
              <w:rPr>
                <w:b/>
              </w:rPr>
              <w:t>Plan Review</w:t>
            </w:r>
          </w:p>
        </w:tc>
        <w:tc>
          <w:tcPr>
            <w:tcW w:w="7500" w:type="dxa"/>
            <w:shd w:val="clear" w:color="auto" w:fill="FF0000"/>
          </w:tcPr>
          <w:p w:rsidR="007F14C5" w:rsidRDefault="007F14C5" w:rsidP="009A575A">
            <w:pPr>
              <w:jc w:val="both"/>
            </w:pPr>
            <w:r>
              <w:t xml:space="preserve">The Authority’s Joint Housing Land Availability Study 2017 (Appendix 1) confirms a </w:t>
            </w:r>
            <w:r>
              <w:rPr>
                <w:b/>
              </w:rPr>
              <w:t>4.8</w:t>
            </w:r>
            <w:r w:rsidRPr="0065308E">
              <w:rPr>
                <w:b/>
              </w:rPr>
              <w:t xml:space="preserve"> year land supply</w:t>
            </w:r>
            <w:r>
              <w:t xml:space="preserve">. </w:t>
            </w:r>
            <w:r>
              <w:tab/>
            </w:r>
          </w:p>
        </w:tc>
      </w:tr>
      <w:tr w:rsidR="007F14C5" w:rsidTr="007F14C5">
        <w:tc>
          <w:tcPr>
            <w:tcW w:w="1516" w:type="dxa"/>
            <w:vMerge/>
            <w:shd w:val="clear" w:color="auto" w:fill="FF0000"/>
          </w:tcPr>
          <w:p w:rsidR="007F14C5" w:rsidRDefault="007F14C5" w:rsidP="005519EF">
            <w:pPr>
              <w:jc w:val="center"/>
              <w:rPr>
                <w:b/>
              </w:rPr>
            </w:pPr>
          </w:p>
        </w:tc>
        <w:tc>
          <w:tcPr>
            <w:tcW w:w="7500" w:type="dxa"/>
            <w:shd w:val="clear" w:color="auto" w:fill="BFBFBF" w:themeFill="background1" w:themeFillShade="BF"/>
          </w:tcPr>
          <w:p w:rsidR="007F14C5" w:rsidRPr="007F14C5" w:rsidRDefault="007F14C5" w:rsidP="009A575A">
            <w:pPr>
              <w:jc w:val="both"/>
              <w:rPr>
                <w:b/>
              </w:rPr>
            </w:pPr>
            <w:r w:rsidRPr="007F14C5">
              <w:rPr>
                <w:b/>
              </w:rPr>
              <w:t>Second Monitoring Period (1</w:t>
            </w:r>
            <w:r w:rsidRPr="007F14C5">
              <w:rPr>
                <w:b/>
                <w:vertAlign w:val="superscript"/>
              </w:rPr>
              <w:t>st</w:t>
            </w:r>
            <w:r w:rsidRPr="007F14C5">
              <w:rPr>
                <w:b/>
              </w:rPr>
              <w:t xml:space="preserve"> April 2015 to 31</w:t>
            </w:r>
            <w:r w:rsidRPr="007F14C5">
              <w:rPr>
                <w:b/>
                <w:vertAlign w:val="superscript"/>
              </w:rPr>
              <w:t>st</w:t>
            </w:r>
            <w:r w:rsidRPr="007F14C5">
              <w:rPr>
                <w:b/>
              </w:rPr>
              <w:t xml:space="preserve"> March 2016</w:t>
            </w:r>
          </w:p>
          <w:p w:rsidR="007F14C5" w:rsidRDefault="007F14C5" w:rsidP="009A575A">
            <w:pPr>
              <w:jc w:val="both"/>
            </w:pPr>
            <w:r>
              <w:t xml:space="preserve">The Authority’s Joint Housing Land Availability Study 2016 (Appendix 1) confirms a </w:t>
            </w:r>
            <w:r w:rsidRPr="0065308E">
              <w:rPr>
                <w:b/>
              </w:rPr>
              <w:t>5.</w:t>
            </w:r>
            <w:r>
              <w:rPr>
                <w:b/>
              </w:rPr>
              <w:t>0</w:t>
            </w:r>
            <w:r w:rsidRPr="0065308E">
              <w:rPr>
                <w:b/>
              </w:rPr>
              <w:t xml:space="preserve"> year land supply</w:t>
            </w:r>
            <w:r>
              <w:t xml:space="preserve">. </w:t>
            </w:r>
            <w:r>
              <w:tab/>
            </w:r>
          </w:p>
        </w:tc>
      </w:tr>
      <w:tr w:rsidR="007F14C5" w:rsidTr="007F14C5">
        <w:tc>
          <w:tcPr>
            <w:tcW w:w="1516" w:type="dxa"/>
            <w:vMerge/>
            <w:shd w:val="clear" w:color="auto" w:fill="FF0000"/>
          </w:tcPr>
          <w:p w:rsidR="007F14C5" w:rsidRDefault="007F14C5" w:rsidP="005519EF">
            <w:pPr>
              <w:jc w:val="center"/>
              <w:rPr>
                <w:b/>
              </w:rPr>
            </w:pPr>
          </w:p>
        </w:tc>
        <w:tc>
          <w:tcPr>
            <w:tcW w:w="7500" w:type="dxa"/>
            <w:shd w:val="clear" w:color="auto" w:fill="D9D9D9" w:themeFill="background1" w:themeFillShade="D9"/>
          </w:tcPr>
          <w:p w:rsidR="007F14C5" w:rsidRPr="0016051B" w:rsidRDefault="007F14C5" w:rsidP="009A575A">
            <w:pPr>
              <w:jc w:val="both"/>
              <w:rPr>
                <w:b/>
              </w:rPr>
            </w:pPr>
            <w:r>
              <w:rPr>
                <w:b/>
              </w:rPr>
              <w:t>First</w:t>
            </w:r>
            <w:r w:rsidRPr="0016051B">
              <w:rPr>
                <w:b/>
              </w:rPr>
              <w:t xml:space="preserve"> Monitoring Period (17</w:t>
            </w:r>
            <w:r w:rsidRPr="0016051B">
              <w:rPr>
                <w:b/>
                <w:vertAlign w:val="superscript"/>
              </w:rPr>
              <w:t>th</w:t>
            </w:r>
            <w:r w:rsidRPr="0016051B">
              <w:rPr>
                <w:b/>
              </w:rPr>
              <w:t xml:space="preserve"> Dec 2013 to 31</w:t>
            </w:r>
            <w:r w:rsidRPr="0016051B">
              <w:rPr>
                <w:b/>
                <w:vertAlign w:val="superscript"/>
              </w:rPr>
              <w:t>st</w:t>
            </w:r>
            <w:r w:rsidRPr="0016051B">
              <w:rPr>
                <w:b/>
              </w:rPr>
              <w:t xml:space="preserve"> Mar 2015):</w:t>
            </w:r>
          </w:p>
          <w:p w:rsidR="007F14C5" w:rsidRDefault="007F14C5" w:rsidP="009A575A">
            <w:pPr>
              <w:jc w:val="both"/>
            </w:pPr>
            <w:r>
              <w:t>5.8 year land supply in 2015</w:t>
            </w:r>
          </w:p>
          <w:p w:rsidR="007F14C5" w:rsidRDefault="007F14C5" w:rsidP="009A575A">
            <w:pPr>
              <w:jc w:val="both"/>
            </w:pPr>
            <w:r>
              <w:t>5.3 year land supply in 2014</w:t>
            </w:r>
          </w:p>
          <w:p w:rsidR="007F14C5" w:rsidRPr="005519EF" w:rsidRDefault="007F14C5" w:rsidP="009A575A">
            <w:pPr>
              <w:jc w:val="both"/>
            </w:pPr>
          </w:p>
        </w:tc>
      </w:tr>
      <w:tr w:rsidR="007F14C5" w:rsidTr="007F14C5">
        <w:tc>
          <w:tcPr>
            <w:tcW w:w="1516" w:type="dxa"/>
            <w:vMerge/>
            <w:shd w:val="clear" w:color="auto" w:fill="FF0000"/>
          </w:tcPr>
          <w:p w:rsidR="007F14C5" w:rsidRDefault="007F14C5" w:rsidP="005519EF">
            <w:pPr>
              <w:jc w:val="center"/>
              <w:rPr>
                <w:b/>
              </w:rPr>
            </w:pPr>
          </w:p>
        </w:tc>
        <w:tc>
          <w:tcPr>
            <w:tcW w:w="7500" w:type="dxa"/>
          </w:tcPr>
          <w:p w:rsidR="007F14C5" w:rsidRPr="0065308E" w:rsidRDefault="007F14C5" w:rsidP="00CE07EE">
            <w:pPr>
              <w:jc w:val="both"/>
              <w:rPr>
                <w:b/>
              </w:rPr>
            </w:pPr>
            <w:r w:rsidRPr="0065308E">
              <w:rPr>
                <w:b/>
              </w:rPr>
              <w:t>Comments:</w:t>
            </w:r>
          </w:p>
          <w:p w:rsidR="007F14C5" w:rsidRDefault="00ED5D2F" w:rsidP="00CE07EE">
            <w:pPr>
              <w:jc w:val="both"/>
            </w:pPr>
            <w:r>
              <w:t xml:space="preserve">The Authority </w:t>
            </w:r>
            <w:r w:rsidR="007F14C5">
              <w:t>retained a 5 year supply of land for the three years since the adoption of the LDP.</w:t>
            </w:r>
            <w:r>
              <w:t xml:space="preserve">  However, our final Joint Housing Land Availability Study before formally commencing the Review of the LDP returned a figure of 4.8 years – 0.2 below the ‘threshold’ of 5 years.</w:t>
            </w:r>
          </w:p>
        </w:tc>
      </w:tr>
      <w:tr w:rsidR="007F14C5" w:rsidTr="007F14C5">
        <w:tc>
          <w:tcPr>
            <w:tcW w:w="1516" w:type="dxa"/>
            <w:vMerge/>
            <w:shd w:val="clear" w:color="auto" w:fill="FF0000"/>
          </w:tcPr>
          <w:p w:rsidR="007F14C5" w:rsidRDefault="007F14C5" w:rsidP="005519EF">
            <w:pPr>
              <w:jc w:val="center"/>
              <w:rPr>
                <w:b/>
              </w:rPr>
            </w:pPr>
          </w:p>
        </w:tc>
        <w:tc>
          <w:tcPr>
            <w:tcW w:w="7500" w:type="dxa"/>
          </w:tcPr>
          <w:p w:rsidR="007F14C5" w:rsidRDefault="007F14C5" w:rsidP="0065308E">
            <w:pPr>
              <w:jc w:val="both"/>
              <w:rPr>
                <w:b/>
              </w:rPr>
            </w:pPr>
            <w:r>
              <w:rPr>
                <w:b/>
              </w:rPr>
              <w:t>Recommendation:</w:t>
            </w:r>
          </w:p>
          <w:p w:rsidR="00ED5D2F" w:rsidRDefault="007F14C5" w:rsidP="00ED5D2F">
            <w:pPr>
              <w:jc w:val="both"/>
            </w:pPr>
            <w:r>
              <w:t>The annual</w:t>
            </w:r>
            <w:r w:rsidRPr="00CE07EE">
              <w:t xml:space="preserve"> monitoring target has</w:t>
            </w:r>
            <w:r w:rsidR="00ED5D2F">
              <w:t xml:space="preserve"> not</w:t>
            </w:r>
            <w:r w:rsidRPr="00CE07EE">
              <w:t xml:space="preserve"> been met.  </w:t>
            </w:r>
            <w:r w:rsidR="00ED5D2F">
              <w:t>Whilst this is a concern, I would suggest that falling just 0.2 below the threshold would not, on its own, be significant enough to trigger a Review.  However, as referred to above, the Authority is due to formally commence Review of the LDP in December in any event as a result of 4 years elapsing since its Adoption in December 2013.</w:t>
            </w:r>
          </w:p>
          <w:p w:rsidR="00ED5D2F" w:rsidRDefault="00ED5D2F" w:rsidP="00ED5D2F">
            <w:pPr>
              <w:jc w:val="both"/>
            </w:pPr>
          </w:p>
          <w:p w:rsidR="00ED5D2F" w:rsidRDefault="00ED5D2F" w:rsidP="00ED5D2F">
            <w:pPr>
              <w:jc w:val="both"/>
            </w:pPr>
          </w:p>
          <w:p w:rsidR="007F14C5" w:rsidRDefault="00ED5D2F" w:rsidP="00ED5D2F">
            <w:pPr>
              <w:jc w:val="both"/>
            </w:pPr>
            <w:r>
              <w:t xml:space="preserve">The Authority will </w:t>
            </w:r>
            <w:r w:rsidR="007F14C5" w:rsidRPr="00CE07EE">
              <w:t>continue to monitor the Authority’s housing land supply via the JHLAS process</w:t>
            </w:r>
            <w:r>
              <w:t xml:space="preserve"> concurrently with the Review of the LDP</w:t>
            </w:r>
            <w:r w:rsidR="007F14C5" w:rsidRPr="00CE07EE">
              <w:t>.</w:t>
            </w:r>
          </w:p>
        </w:tc>
      </w:tr>
    </w:tbl>
    <w:p w:rsidR="007467EF" w:rsidRDefault="007467EF" w:rsidP="007467EF">
      <w:pPr>
        <w:jc w:val="both"/>
        <w:rPr>
          <w:b/>
        </w:rPr>
      </w:pPr>
    </w:p>
    <w:p w:rsidR="00FA730F" w:rsidRPr="007467EF" w:rsidRDefault="00FA730F" w:rsidP="007467EF">
      <w:pPr>
        <w:jc w:val="both"/>
        <w:rPr>
          <w:b/>
        </w:rPr>
      </w:pPr>
      <w:r>
        <w:rPr>
          <w:b/>
        </w:rPr>
        <w:t>Figure 2</w:t>
      </w:r>
      <w:r w:rsidR="009A575A">
        <w:rPr>
          <w:b/>
        </w:rPr>
        <w:t xml:space="preserve"> </w:t>
      </w:r>
    </w:p>
    <w:tbl>
      <w:tblPr>
        <w:tblStyle w:val="TableGrid"/>
        <w:tblW w:w="0" w:type="auto"/>
        <w:tblLook w:val="04A0" w:firstRow="1" w:lastRow="0" w:firstColumn="1" w:lastColumn="0" w:noHBand="0" w:noVBand="1"/>
      </w:tblPr>
      <w:tblGrid>
        <w:gridCol w:w="1507"/>
        <w:gridCol w:w="7509"/>
      </w:tblGrid>
      <w:tr w:rsidR="0065308E" w:rsidTr="007F14C5">
        <w:trPr>
          <w:trHeight w:val="255"/>
        </w:trPr>
        <w:tc>
          <w:tcPr>
            <w:tcW w:w="9016" w:type="dxa"/>
            <w:gridSpan w:val="2"/>
            <w:shd w:val="clear" w:color="auto" w:fill="4BACC6" w:themeFill="accent5"/>
          </w:tcPr>
          <w:p w:rsidR="0065308E" w:rsidRPr="00C11DDE" w:rsidRDefault="0065308E" w:rsidP="0065308E">
            <w:pPr>
              <w:jc w:val="both"/>
            </w:pPr>
            <w:r w:rsidRPr="0065308E">
              <w:rPr>
                <w:b/>
              </w:rPr>
              <w:t>Number of consents granted and dwellings completed annually</w:t>
            </w:r>
            <w:r w:rsidR="00A42D22">
              <w:t xml:space="preserve"> </w:t>
            </w:r>
          </w:p>
        </w:tc>
      </w:tr>
      <w:tr w:rsidR="007F14C5" w:rsidTr="00F009E7">
        <w:trPr>
          <w:trHeight w:val="255"/>
        </w:trPr>
        <w:tc>
          <w:tcPr>
            <w:tcW w:w="1507" w:type="dxa"/>
            <w:vMerge w:val="restart"/>
            <w:shd w:val="clear" w:color="auto" w:fill="FFFF00"/>
          </w:tcPr>
          <w:p w:rsidR="007F14C5" w:rsidRDefault="007F14C5" w:rsidP="00773018">
            <w:pPr>
              <w:jc w:val="center"/>
              <w:rPr>
                <w:b/>
              </w:rPr>
            </w:pPr>
            <w:r>
              <w:rPr>
                <w:b/>
              </w:rPr>
              <w:lastRenderedPageBreak/>
              <w:t>Policy Research</w:t>
            </w:r>
          </w:p>
        </w:tc>
        <w:tc>
          <w:tcPr>
            <w:tcW w:w="7509" w:type="dxa"/>
            <w:shd w:val="clear" w:color="auto" w:fill="FFFF00"/>
          </w:tcPr>
          <w:p w:rsidR="007F14C5" w:rsidRPr="00F009E7" w:rsidRDefault="00450AA4" w:rsidP="0065308E">
            <w:pPr>
              <w:jc w:val="both"/>
              <w:rPr>
                <w:b/>
              </w:rPr>
            </w:pPr>
            <w:r w:rsidRPr="00F009E7">
              <w:rPr>
                <w:b/>
              </w:rPr>
              <w:t>Third Monitoring Period</w:t>
            </w:r>
          </w:p>
          <w:p w:rsidR="00450AA4" w:rsidRPr="00F009E7" w:rsidRDefault="00450AA4" w:rsidP="0065308E">
            <w:pPr>
              <w:jc w:val="both"/>
            </w:pPr>
            <w:r w:rsidRPr="00F009E7">
              <w:t>Pla</w:t>
            </w:r>
            <w:r w:rsidR="00EF418F" w:rsidRPr="00F009E7">
              <w:t>nning permission granted for 276</w:t>
            </w:r>
            <w:r w:rsidRPr="00F009E7">
              <w:t xml:space="preserve"> new dwellings</w:t>
            </w:r>
          </w:p>
          <w:p w:rsidR="00450AA4" w:rsidRPr="00F009E7" w:rsidRDefault="00450AA4" w:rsidP="0065308E">
            <w:pPr>
              <w:jc w:val="both"/>
            </w:pPr>
          </w:p>
          <w:p w:rsidR="00450AA4" w:rsidRPr="00F009E7" w:rsidRDefault="00450AA4" w:rsidP="0065308E">
            <w:pPr>
              <w:jc w:val="both"/>
            </w:pPr>
            <w:r w:rsidRPr="00F009E7">
              <w:t>Completions 2016-2017 = 52</w:t>
            </w:r>
          </w:p>
          <w:p w:rsidR="00450AA4" w:rsidRPr="00F009E7" w:rsidRDefault="00450AA4" w:rsidP="0065308E">
            <w:pPr>
              <w:jc w:val="both"/>
            </w:pPr>
          </w:p>
        </w:tc>
      </w:tr>
      <w:tr w:rsidR="007F14C5" w:rsidTr="00B73BDB">
        <w:trPr>
          <w:trHeight w:val="255"/>
        </w:trPr>
        <w:tc>
          <w:tcPr>
            <w:tcW w:w="1507" w:type="dxa"/>
            <w:vMerge/>
            <w:shd w:val="clear" w:color="auto" w:fill="FFFF00"/>
          </w:tcPr>
          <w:p w:rsidR="007F14C5" w:rsidRDefault="007F14C5" w:rsidP="00773018">
            <w:pPr>
              <w:jc w:val="center"/>
              <w:rPr>
                <w:b/>
              </w:rPr>
            </w:pPr>
          </w:p>
        </w:tc>
        <w:tc>
          <w:tcPr>
            <w:tcW w:w="7509" w:type="dxa"/>
            <w:shd w:val="clear" w:color="auto" w:fill="BFBFBF" w:themeFill="background1" w:themeFillShade="BF"/>
          </w:tcPr>
          <w:p w:rsidR="007F14C5" w:rsidRPr="007F14C5" w:rsidRDefault="007F14C5" w:rsidP="0065308E">
            <w:pPr>
              <w:jc w:val="both"/>
              <w:rPr>
                <w:b/>
              </w:rPr>
            </w:pPr>
            <w:r w:rsidRPr="007F14C5">
              <w:rPr>
                <w:b/>
              </w:rPr>
              <w:t>Second Monitoring Period</w:t>
            </w:r>
          </w:p>
          <w:p w:rsidR="007F14C5" w:rsidRDefault="007F14C5" w:rsidP="0065308E">
            <w:pPr>
              <w:jc w:val="both"/>
            </w:pPr>
            <w:r w:rsidRPr="00C11DDE">
              <w:t xml:space="preserve">Planning permission granted for </w:t>
            </w:r>
            <w:r>
              <w:t>117</w:t>
            </w:r>
            <w:r w:rsidRPr="00C11DDE">
              <w:t xml:space="preserve"> new dwellings </w:t>
            </w:r>
          </w:p>
          <w:p w:rsidR="007F14C5" w:rsidRDefault="007F14C5" w:rsidP="0065308E">
            <w:pPr>
              <w:jc w:val="both"/>
            </w:pPr>
          </w:p>
          <w:p w:rsidR="007F14C5" w:rsidRPr="00C11DDE" w:rsidRDefault="007F14C5" w:rsidP="0065308E">
            <w:pPr>
              <w:jc w:val="both"/>
            </w:pPr>
            <w:r w:rsidRPr="00C11DDE">
              <w:t xml:space="preserve">Completions </w:t>
            </w:r>
            <w:r>
              <w:t>2015</w:t>
            </w:r>
            <w:r w:rsidRPr="00C11DDE">
              <w:t>-201</w:t>
            </w:r>
            <w:r>
              <w:t>6</w:t>
            </w:r>
            <w:r w:rsidRPr="00C11DDE">
              <w:t xml:space="preserve"> =</w:t>
            </w:r>
            <w:r>
              <w:t xml:space="preserve"> 58</w:t>
            </w:r>
          </w:p>
          <w:p w:rsidR="007F14C5" w:rsidRPr="00C11DDE" w:rsidRDefault="007F14C5" w:rsidP="0065308E">
            <w:pPr>
              <w:jc w:val="both"/>
            </w:pPr>
          </w:p>
        </w:tc>
      </w:tr>
      <w:tr w:rsidR="007F14C5" w:rsidTr="007F14C5">
        <w:trPr>
          <w:trHeight w:val="255"/>
        </w:trPr>
        <w:tc>
          <w:tcPr>
            <w:tcW w:w="1507" w:type="dxa"/>
            <w:vMerge/>
            <w:shd w:val="clear" w:color="auto" w:fill="FFFF00"/>
          </w:tcPr>
          <w:p w:rsidR="007F14C5" w:rsidRDefault="007F14C5" w:rsidP="00773018">
            <w:pPr>
              <w:jc w:val="center"/>
              <w:rPr>
                <w:b/>
              </w:rPr>
            </w:pPr>
          </w:p>
        </w:tc>
        <w:tc>
          <w:tcPr>
            <w:tcW w:w="7509" w:type="dxa"/>
            <w:shd w:val="clear" w:color="auto" w:fill="D9D9D9" w:themeFill="background1" w:themeFillShade="D9"/>
          </w:tcPr>
          <w:p w:rsidR="007F14C5" w:rsidRPr="00AB69F3" w:rsidRDefault="007F14C5" w:rsidP="0065308E">
            <w:pPr>
              <w:jc w:val="both"/>
              <w:rPr>
                <w:b/>
              </w:rPr>
            </w:pPr>
            <w:r>
              <w:rPr>
                <w:b/>
              </w:rPr>
              <w:t>First</w:t>
            </w:r>
            <w:r w:rsidRPr="00AB69F3">
              <w:rPr>
                <w:b/>
              </w:rPr>
              <w:t xml:space="preserve"> Monitoring Period:</w:t>
            </w:r>
          </w:p>
          <w:p w:rsidR="007F14C5" w:rsidRPr="00C11DDE" w:rsidRDefault="007F14C5" w:rsidP="0065308E">
            <w:pPr>
              <w:jc w:val="both"/>
            </w:pPr>
            <w:r>
              <w:t>Planning permission granted for 106 new dwellings, plus 64 and 45 completions for 2013/14 and 2014/15 respectively.</w:t>
            </w:r>
          </w:p>
        </w:tc>
      </w:tr>
      <w:tr w:rsidR="007F14C5" w:rsidTr="007F14C5">
        <w:trPr>
          <w:trHeight w:val="285"/>
        </w:trPr>
        <w:tc>
          <w:tcPr>
            <w:tcW w:w="1507" w:type="dxa"/>
            <w:vMerge/>
            <w:shd w:val="clear" w:color="auto" w:fill="FFFF00"/>
          </w:tcPr>
          <w:p w:rsidR="007F14C5" w:rsidRDefault="007F14C5" w:rsidP="009819AC">
            <w:pPr>
              <w:jc w:val="both"/>
              <w:rPr>
                <w:b/>
              </w:rPr>
            </w:pPr>
          </w:p>
        </w:tc>
        <w:tc>
          <w:tcPr>
            <w:tcW w:w="7509" w:type="dxa"/>
          </w:tcPr>
          <w:p w:rsidR="007F14C5" w:rsidRDefault="007F14C5" w:rsidP="0065308E">
            <w:pPr>
              <w:jc w:val="both"/>
              <w:rPr>
                <w:b/>
              </w:rPr>
            </w:pPr>
            <w:r>
              <w:rPr>
                <w:b/>
              </w:rPr>
              <w:t>Comment:</w:t>
            </w:r>
          </w:p>
          <w:p w:rsidR="00945F0E" w:rsidRDefault="007F14C5" w:rsidP="0065308E">
            <w:pPr>
              <w:jc w:val="both"/>
            </w:pPr>
            <w:r>
              <w:t xml:space="preserve">The number of dwellings granted planning permission </w:t>
            </w:r>
            <w:r w:rsidR="00F009E7">
              <w:t>has exceeded the number required annually whilst</w:t>
            </w:r>
            <w:r>
              <w:t xml:space="preserve"> the number of completions for the period falls short (174 (+/-20%)).  </w:t>
            </w:r>
          </w:p>
          <w:p w:rsidR="00945F0E" w:rsidRDefault="00945F0E" w:rsidP="0065308E">
            <w:pPr>
              <w:jc w:val="both"/>
            </w:pPr>
          </w:p>
          <w:p w:rsidR="007F14C5" w:rsidRDefault="00F009E7" w:rsidP="0065308E">
            <w:pPr>
              <w:jc w:val="both"/>
            </w:pPr>
            <w:r>
              <w:t>Given the range of figures set out above, it is reasonable to suggest that</w:t>
            </w:r>
            <w:r w:rsidR="007F14C5">
              <w:t xml:space="preserve"> </w:t>
            </w:r>
            <w:r>
              <w:t xml:space="preserve">a </w:t>
            </w:r>
            <w:r w:rsidR="007F14C5">
              <w:t>consideration of fluctuations from year to year should be taken into account.  Indeed, the second part of the assessment trigger requires between 696 and 1044 dwellings to be developed by 2017</w:t>
            </w:r>
            <w:r w:rsidR="00945F0E">
              <w:t>, which is a figure generated over longer timescale that would represent a more robust indicator of the LDP’s performance</w:t>
            </w:r>
            <w:r w:rsidR="007F14C5">
              <w:t>.</w:t>
            </w:r>
            <w:r w:rsidR="00945F0E">
              <w:t xml:space="preserve"> </w:t>
            </w:r>
          </w:p>
          <w:p w:rsidR="00945F0E" w:rsidRDefault="00945F0E" w:rsidP="0065308E">
            <w:pPr>
              <w:jc w:val="both"/>
            </w:pPr>
          </w:p>
          <w:p w:rsidR="00945F0E" w:rsidRDefault="00945F0E" w:rsidP="0065308E">
            <w:pPr>
              <w:jc w:val="both"/>
            </w:pPr>
            <w:r>
              <w:t xml:space="preserve">From the beginning of the Plan period (2007) to the end of March 2017, there was a total of 578 completions.  With a year remaining to achieve the minimum target, a further 118 completions are required. </w:t>
            </w:r>
          </w:p>
          <w:p w:rsidR="007F14C5" w:rsidRDefault="007F14C5" w:rsidP="0065308E">
            <w:pPr>
              <w:jc w:val="both"/>
            </w:pPr>
          </w:p>
          <w:p w:rsidR="00945F0E" w:rsidRDefault="00945F0E" w:rsidP="0065308E">
            <w:pPr>
              <w:jc w:val="both"/>
            </w:pPr>
            <w:r>
              <w:t>Whilst completions were slightly down during this monitoring period, the large increase in the number of dwellings being granted planning permission is encouraging (an increase of 159 over and above the figure recorded during the second monitoring period).</w:t>
            </w:r>
          </w:p>
          <w:p w:rsidR="00945F0E" w:rsidRDefault="00945F0E" w:rsidP="0065308E">
            <w:pPr>
              <w:jc w:val="both"/>
            </w:pPr>
          </w:p>
          <w:p w:rsidR="00945F0E" w:rsidRDefault="00945F0E" w:rsidP="0065308E">
            <w:pPr>
              <w:jc w:val="both"/>
            </w:pPr>
            <w:r>
              <w:t xml:space="preserve">It was recommended as part of the </w:t>
            </w:r>
            <w:r w:rsidR="00AC223A">
              <w:t>AMR relating to the second monitoring period that Officers u</w:t>
            </w:r>
            <w:r w:rsidR="00AC223A" w:rsidRPr="00AC223A">
              <w:t>ndertake comparison research with other Local Planning Authorities into the delivery of housing</w:t>
            </w:r>
            <w:r w:rsidR="00AC223A">
              <w:t>.  Here it was noted that:</w:t>
            </w:r>
          </w:p>
          <w:p w:rsidR="00AC223A" w:rsidRDefault="00AC223A" w:rsidP="00AC223A">
            <w:pPr>
              <w:pStyle w:val="ListParagraph"/>
              <w:numPr>
                <w:ilvl w:val="0"/>
                <w:numId w:val="22"/>
              </w:numPr>
              <w:jc w:val="both"/>
            </w:pPr>
            <w:r w:rsidRPr="00AC223A">
              <w:lastRenderedPageBreak/>
              <w:t xml:space="preserve">The 2016 </w:t>
            </w:r>
            <w:r>
              <w:t xml:space="preserve">Joint Housing Land Availability </w:t>
            </w:r>
            <w:r w:rsidRPr="00AC223A">
              <w:t>Studies</w:t>
            </w:r>
            <w:r>
              <w:t xml:space="preserve"> across Wales</w:t>
            </w:r>
            <w:r w:rsidRPr="00AC223A">
              <w:t xml:space="preserve"> show that as at 1 April 2016 19 out of the twenty-five local planning authorities were unable to demonstrate a f</w:t>
            </w:r>
            <w:r>
              <w:t xml:space="preserve">ive year housing land supply. </w:t>
            </w:r>
          </w:p>
          <w:p w:rsidR="00AC223A" w:rsidRDefault="00AC223A" w:rsidP="00AC223A">
            <w:pPr>
              <w:pStyle w:val="ListParagraph"/>
              <w:numPr>
                <w:ilvl w:val="0"/>
                <w:numId w:val="22"/>
              </w:numPr>
              <w:jc w:val="both"/>
            </w:pPr>
            <w:r w:rsidRPr="00AC223A">
              <w:t>By comparison, 17 local planning authorities were unable to demonstrate a five year housing land supply in 2015, all of which remain withou</w:t>
            </w:r>
            <w:r>
              <w:t xml:space="preserve">t a five year supply in 2016. </w:t>
            </w:r>
          </w:p>
          <w:p w:rsidR="00AC223A" w:rsidRDefault="00AC223A" w:rsidP="00AC223A">
            <w:pPr>
              <w:pStyle w:val="ListParagraph"/>
              <w:numPr>
                <w:ilvl w:val="0"/>
                <w:numId w:val="22"/>
              </w:numPr>
              <w:jc w:val="both"/>
            </w:pPr>
            <w:r w:rsidRPr="00AC223A">
              <w:t>16 local planning authorities have had less than five years housing land supply for three or more consecutive years.</w:t>
            </w:r>
          </w:p>
          <w:p w:rsidR="007F14C5" w:rsidRDefault="007F14C5" w:rsidP="00945F0E">
            <w:pPr>
              <w:jc w:val="both"/>
            </w:pPr>
          </w:p>
          <w:p w:rsidR="00AC223A" w:rsidRDefault="00AC223A" w:rsidP="00AC223A">
            <w:pPr>
              <w:jc w:val="both"/>
            </w:pPr>
            <w:r>
              <w:t>To this end, it is clear that difficulties in relation to housing delivery is a national issue and not exclusive to the Brecon Beacons National Park Area.  Indeed, the figures for 2016 show that housing land supply as reported in JHLASs has declined for many LPAs, including for some with recently adopted Local Development Plans. Research commissioned by the Welsh Government (Longitudinal viability study of the planning process undertaken by Arcadis (UK) Ltd) indicates that one of the main reasons is the allocation of sites for housing which are essentially undeliverable or only likely to come forward at later stages of the LDP period. Viability was identified as a key reason for delays in delivery, covering issues such as affordable housing requirements, sites being located in low value market areas, poor quality sites or specific infrastructure requirements.</w:t>
            </w:r>
          </w:p>
          <w:p w:rsidR="00B73BDB" w:rsidRDefault="00B73BDB" w:rsidP="00AC223A">
            <w:pPr>
              <w:jc w:val="both"/>
            </w:pPr>
          </w:p>
          <w:p w:rsidR="00B73BDB" w:rsidRPr="00A42D22" w:rsidRDefault="00B73BDB" w:rsidP="00AC223A">
            <w:pPr>
              <w:jc w:val="both"/>
            </w:pPr>
            <w:r>
              <w:t xml:space="preserve">It should also be noted that the Authority has commissioned work to be undertaken in the form of a Housing Needs assessment.  This will form a key piece of evidence as the Authority moves towards the LDP Review and will set out options relating to our housing requirements up to 2032. </w:t>
            </w:r>
          </w:p>
        </w:tc>
      </w:tr>
      <w:tr w:rsidR="007F14C5" w:rsidTr="007F14C5">
        <w:trPr>
          <w:trHeight w:val="285"/>
        </w:trPr>
        <w:tc>
          <w:tcPr>
            <w:tcW w:w="1507" w:type="dxa"/>
            <w:vMerge/>
            <w:shd w:val="clear" w:color="auto" w:fill="FFFF00"/>
          </w:tcPr>
          <w:p w:rsidR="007F14C5" w:rsidRDefault="007F14C5" w:rsidP="009819AC">
            <w:pPr>
              <w:jc w:val="both"/>
              <w:rPr>
                <w:b/>
              </w:rPr>
            </w:pPr>
          </w:p>
        </w:tc>
        <w:tc>
          <w:tcPr>
            <w:tcW w:w="7509" w:type="dxa"/>
          </w:tcPr>
          <w:p w:rsidR="007F14C5" w:rsidRPr="008E6218" w:rsidRDefault="007F14C5" w:rsidP="0065308E">
            <w:pPr>
              <w:jc w:val="both"/>
              <w:rPr>
                <w:b/>
              </w:rPr>
            </w:pPr>
            <w:r w:rsidRPr="008E6218">
              <w:rPr>
                <w:b/>
              </w:rPr>
              <w:t>Recommendation:</w:t>
            </w:r>
          </w:p>
          <w:p w:rsidR="007F14C5" w:rsidRDefault="007F14C5" w:rsidP="002E7C5D">
            <w:pPr>
              <w:jc w:val="both"/>
            </w:pPr>
            <w:r>
              <w:t>The annual indicators suggest that housing completions are not up to the level required.  Further research and investigation is required as follows:</w:t>
            </w:r>
          </w:p>
          <w:p w:rsidR="007F14C5" w:rsidRDefault="007F14C5" w:rsidP="002E7C5D">
            <w:pPr>
              <w:jc w:val="both"/>
            </w:pPr>
          </w:p>
          <w:p w:rsidR="007F14C5" w:rsidRPr="0065308E" w:rsidRDefault="00AC223A" w:rsidP="002E7C5D">
            <w:pPr>
              <w:pStyle w:val="ListParagraph"/>
              <w:numPr>
                <w:ilvl w:val="0"/>
                <w:numId w:val="17"/>
              </w:numPr>
              <w:jc w:val="both"/>
            </w:pPr>
            <w:r>
              <w:t>Continuation of</w:t>
            </w:r>
            <w:r w:rsidR="007F14C5">
              <w:t xml:space="preserve"> comparison research with other Local Planning Authorities into the delivery of housing</w:t>
            </w:r>
          </w:p>
        </w:tc>
      </w:tr>
    </w:tbl>
    <w:p w:rsidR="007467EF" w:rsidRDefault="007467EF" w:rsidP="009E1C8D">
      <w:pPr>
        <w:jc w:val="both"/>
        <w:rPr>
          <w:b/>
        </w:rPr>
      </w:pPr>
    </w:p>
    <w:p w:rsidR="00FA730F" w:rsidRPr="009E1C8D" w:rsidRDefault="00FA730F" w:rsidP="009E1C8D">
      <w:pPr>
        <w:jc w:val="both"/>
        <w:rPr>
          <w:b/>
        </w:rPr>
      </w:pPr>
      <w:r>
        <w:rPr>
          <w:b/>
        </w:rPr>
        <w:t>Figure 3</w:t>
      </w:r>
    </w:p>
    <w:tbl>
      <w:tblPr>
        <w:tblStyle w:val="TableGrid"/>
        <w:tblW w:w="0" w:type="auto"/>
        <w:tblLook w:val="04A0" w:firstRow="1" w:lastRow="0" w:firstColumn="1" w:lastColumn="0" w:noHBand="0" w:noVBand="1"/>
      </w:tblPr>
      <w:tblGrid>
        <w:gridCol w:w="1516"/>
        <w:gridCol w:w="7500"/>
      </w:tblGrid>
      <w:tr w:rsidR="0065308E" w:rsidRPr="009819AC" w:rsidTr="007F14C5">
        <w:tc>
          <w:tcPr>
            <w:tcW w:w="9016" w:type="dxa"/>
            <w:gridSpan w:val="2"/>
            <w:shd w:val="clear" w:color="auto" w:fill="4BACC6" w:themeFill="accent5"/>
          </w:tcPr>
          <w:p w:rsidR="0065308E" w:rsidRDefault="0065308E" w:rsidP="00A42D22">
            <w:pPr>
              <w:jc w:val="both"/>
              <w:rPr>
                <w:b/>
              </w:rPr>
            </w:pPr>
            <w:r w:rsidRPr="0065308E">
              <w:rPr>
                <w:b/>
              </w:rPr>
              <w:t>Number of units granted and co</w:t>
            </w:r>
            <w:r w:rsidR="00A42D22">
              <w:rPr>
                <w:b/>
              </w:rPr>
              <w:t>mpleted in each settlement tier</w:t>
            </w:r>
          </w:p>
        </w:tc>
      </w:tr>
      <w:tr w:rsidR="007F14C5" w:rsidRPr="009819AC" w:rsidTr="006D54F8">
        <w:trPr>
          <w:trHeight w:val="77"/>
        </w:trPr>
        <w:tc>
          <w:tcPr>
            <w:tcW w:w="1516" w:type="dxa"/>
            <w:vMerge w:val="restart"/>
            <w:shd w:val="clear" w:color="auto" w:fill="FFFF00"/>
          </w:tcPr>
          <w:p w:rsidR="007F14C5" w:rsidRDefault="006D54F8" w:rsidP="006D54F8">
            <w:pPr>
              <w:jc w:val="center"/>
              <w:rPr>
                <w:b/>
              </w:rPr>
            </w:pPr>
            <w:r>
              <w:rPr>
                <w:b/>
              </w:rPr>
              <w:t>Completed/ Policy Reserach</w:t>
            </w:r>
          </w:p>
        </w:tc>
        <w:tc>
          <w:tcPr>
            <w:tcW w:w="7500" w:type="dxa"/>
            <w:shd w:val="clear" w:color="auto" w:fill="FFFF00"/>
          </w:tcPr>
          <w:p w:rsidR="00EF418F" w:rsidRPr="00B73BDB" w:rsidRDefault="00EF418F" w:rsidP="00EF418F">
            <w:pPr>
              <w:jc w:val="both"/>
              <w:rPr>
                <w:b/>
              </w:rPr>
            </w:pPr>
            <w:r w:rsidRPr="00B73BDB">
              <w:rPr>
                <w:b/>
              </w:rPr>
              <w:t>Third Monitoring Period</w:t>
            </w:r>
          </w:p>
          <w:p w:rsidR="00EF418F" w:rsidRPr="00B73BDB" w:rsidRDefault="00EF418F" w:rsidP="00EF418F">
            <w:pPr>
              <w:jc w:val="both"/>
              <w:rPr>
                <w:b/>
              </w:rPr>
            </w:pPr>
          </w:p>
          <w:p w:rsidR="00EF418F" w:rsidRPr="00B73BDB" w:rsidRDefault="00EF418F" w:rsidP="00EF418F">
            <w:pPr>
              <w:jc w:val="both"/>
              <w:rPr>
                <w:b/>
              </w:rPr>
            </w:pPr>
            <w:r w:rsidRPr="00B73BDB">
              <w:rPr>
                <w:b/>
              </w:rPr>
              <w:t>Permissions</w:t>
            </w:r>
          </w:p>
          <w:p w:rsidR="00EF418F" w:rsidRPr="00B73BDB" w:rsidRDefault="00EF418F" w:rsidP="00EF418F">
            <w:pPr>
              <w:jc w:val="both"/>
            </w:pPr>
            <w:r w:rsidRPr="00B73BDB">
              <w:lastRenderedPageBreak/>
              <w:t xml:space="preserve">Brecon Primary Key Settlement: </w:t>
            </w:r>
            <w:r w:rsidR="001350A3" w:rsidRPr="00B73BDB">
              <w:t>2</w:t>
            </w:r>
            <w:r w:rsidRPr="00B73BDB">
              <w:t>%</w:t>
            </w:r>
          </w:p>
          <w:p w:rsidR="00EF418F" w:rsidRPr="00B73BDB" w:rsidRDefault="00EF418F" w:rsidP="00EF418F">
            <w:pPr>
              <w:jc w:val="both"/>
            </w:pPr>
            <w:r w:rsidRPr="00B73BDB">
              <w:t xml:space="preserve">Key Settlements: </w:t>
            </w:r>
            <w:r w:rsidR="00385828" w:rsidRPr="00B73BDB">
              <w:t>48</w:t>
            </w:r>
            <w:r w:rsidRPr="00B73BDB">
              <w:t>%</w:t>
            </w:r>
          </w:p>
          <w:p w:rsidR="00EF418F" w:rsidRPr="00B73BDB" w:rsidRDefault="00EF418F" w:rsidP="00EF418F">
            <w:pPr>
              <w:jc w:val="both"/>
            </w:pPr>
            <w:r w:rsidRPr="00B73BDB">
              <w:t>Settlements:</w:t>
            </w:r>
            <w:r w:rsidR="001350A3" w:rsidRPr="00B73BDB">
              <w:t xml:space="preserve"> </w:t>
            </w:r>
            <w:r w:rsidR="00385828" w:rsidRPr="00B73BDB">
              <w:t>13</w:t>
            </w:r>
            <w:r w:rsidRPr="00B73BDB">
              <w:t xml:space="preserve">% </w:t>
            </w:r>
          </w:p>
          <w:p w:rsidR="00EF418F" w:rsidRPr="00B73BDB" w:rsidRDefault="00EF418F" w:rsidP="00EF418F">
            <w:pPr>
              <w:jc w:val="both"/>
            </w:pPr>
            <w:r w:rsidRPr="00B73BDB">
              <w:t xml:space="preserve">Limited Growth Settlements: </w:t>
            </w:r>
            <w:r w:rsidR="00385828" w:rsidRPr="00B73BDB">
              <w:t>7</w:t>
            </w:r>
            <w:r w:rsidRPr="00B73BDB">
              <w:t>%</w:t>
            </w:r>
          </w:p>
          <w:p w:rsidR="00EF418F" w:rsidRPr="00B73BDB" w:rsidRDefault="00EF418F" w:rsidP="00EF418F">
            <w:pPr>
              <w:jc w:val="both"/>
            </w:pPr>
            <w:r w:rsidRPr="00B73BDB">
              <w:t>Countryside:</w:t>
            </w:r>
            <w:r w:rsidR="001350A3" w:rsidRPr="00B73BDB">
              <w:t xml:space="preserve"> </w:t>
            </w:r>
            <w:r w:rsidR="00385828" w:rsidRPr="00B73BDB">
              <w:t>9</w:t>
            </w:r>
            <w:r w:rsidRPr="00B73BDB">
              <w:t>%</w:t>
            </w:r>
          </w:p>
          <w:p w:rsidR="00EF418F" w:rsidRDefault="00EF418F" w:rsidP="00EF418F">
            <w:pPr>
              <w:jc w:val="both"/>
            </w:pPr>
            <w:r w:rsidRPr="00B73BDB">
              <w:t>Allo</w:t>
            </w:r>
            <w:r w:rsidR="00385828" w:rsidRPr="00B73BDB">
              <w:t>cated Brownfield Sites: 21%</w:t>
            </w:r>
          </w:p>
          <w:p w:rsidR="008F341D" w:rsidRDefault="008F341D" w:rsidP="008F341D">
            <w:pPr>
              <w:jc w:val="both"/>
              <w:rPr>
                <w:b/>
                <w:bCs/>
              </w:rPr>
            </w:pPr>
          </w:p>
          <w:p w:rsidR="008F341D" w:rsidRPr="008F341D" w:rsidRDefault="008F341D" w:rsidP="008F341D">
            <w:pPr>
              <w:jc w:val="both"/>
              <w:rPr>
                <w:b/>
                <w:bCs/>
              </w:rPr>
            </w:pPr>
            <w:r w:rsidRPr="008F341D">
              <w:rPr>
                <w:b/>
                <w:bCs/>
              </w:rPr>
              <w:t>Completions 2016-2017</w:t>
            </w:r>
          </w:p>
          <w:p w:rsidR="008F341D" w:rsidRPr="008F341D" w:rsidRDefault="008F341D" w:rsidP="008F341D">
            <w:pPr>
              <w:jc w:val="both"/>
            </w:pPr>
            <w:r w:rsidRPr="008F341D">
              <w:t>Brecon 6% (3)</w:t>
            </w:r>
          </w:p>
          <w:p w:rsidR="008F341D" w:rsidRPr="008F341D" w:rsidRDefault="008F341D" w:rsidP="008F341D">
            <w:pPr>
              <w:jc w:val="both"/>
            </w:pPr>
            <w:r w:rsidRPr="008F341D">
              <w:t>Key Settlements 8% (4)</w:t>
            </w:r>
          </w:p>
          <w:p w:rsidR="008F341D" w:rsidRPr="008F341D" w:rsidRDefault="008F341D" w:rsidP="008F341D">
            <w:pPr>
              <w:jc w:val="both"/>
            </w:pPr>
            <w:r w:rsidRPr="008F341D">
              <w:t>Settlements: 61% (32)</w:t>
            </w:r>
          </w:p>
          <w:p w:rsidR="008F341D" w:rsidRPr="008F341D" w:rsidRDefault="008F341D" w:rsidP="008F341D">
            <w:pPr>
              <w:jc w:val="both"/>
            </w:pPr>
            <w:r w:rsidRPr="008F341D">
              <w:t>Limited Growth Settlements 6% (3)</w:t>
            </w:r>
          </w:p>
          <w:p w:rsidR="008F341D" w:rsidRPr="008F341D" w:rsidRDefault="008F341D" w:rsidP="008F341D">
            <w:pPr>
              <w:jc w:val="both"/>
            </w:pPr>
            <w:r w:rsidRPr="008F341D">
              <w:t>Countryside: 19% (10)</w:t>
            </w:r>
          </w:p>
          <w:p w:rsidR="008F341D" w:rsidRPr="008F341D" w:rsidRDefault="008F341D" w:rsidP="008F341D">
            <w:pPr>
              <w:jc w:val="both"/>
            </w:pPr>
            <w:r w:rsidRPr="008F341D">
              <w:t>Allocated Brownfield Sites: 0</w:t>
            </w:r>
          </w:p>
          <w:p w:rsidR="007F14C5" w:rsidRDefault="007F14C5" w:rsidP="008F341D">
            <w:pPr>
              <w:jc w:val="both"/>
              <w:rPr>
                <w:b/>
              </w:rPr>
            </w:pPr>
          </w:p>
        </w:tc>
      </w:tr>
      <w:tr w:rsidR="007F14C5" w:rsidRPr="009819AC" w:rsidTr="006D54F8">
        <w:trPr>
          <w:trHeight w:val="77"/>
        </w:trPr>
        <w:tc>
          <w:tcPr>
            <w:tcW w:w="1516" w:type="dxa"/>
            <w:vMerge/>
            <w:shd w:val="clear" w:color="auto" w:fill="FFFF00"/>
          </w:tcPr>
          <w:p w:rsidR="007F14C5" w:rsidRPr="007467EF" w:rsidRDefault="007F14C5" w:rsidP="007467EF">
            <w:pPr>
              <w:jc w:val="center"/>
              <w:rPr>
                <w:b/>
              </w:rPr>
            </w:pPr>
          </w:p>
        </w:tc>
        <w:tc>
          <w:tcPr>
            <w:tcW w:w="7500" w:type="dxa"/>
            <w:shd w:val="clear" w:color="auto" w:fill="BFBFBF" w:themeFill="background1" w:themeFillShade="BF"/>
          </w:tcPr>
          <w:p w:rsidR="007F14C5" w:rsidRDefault="007F14C5" w:rsidP="009819AC">
            <w:pPr>
              <w:jc w:val="both"/>
              <w:rPr>
                <w:b/>
              </w:rPr>
            </w:pPr>
            <w:r>
              <w:rPr>
                <w:b/>
              </w:rPr>
              <w:t>Second Monitoring Period</w:t>
            </w:r>
          </w:p>
          <w:p w:rsidR="007F14C5" w:rsidRDefault="007F14C5" w:rsidP="009819AC">
            <w:pPr>
              <w:jc w:val="both"/>
              <w:rPr>
                <w:b/>
              </w:rPr>
            </w:pPr>
          </w:p>
          <w:p w:rsidR="007F14C5" w:rsidRDefault="007F14C5" w:rsidP="009819AC">
            <w:pPr>
              <w:jc w:val="both"/>
              <w:rPr>
                <w:b/>
              </w:rPr>
            </w:pPr>
            <w:r>
              <w:rPr>
                <w:b/>
              </w:rPr>
              <w:t>Permissions</w:t>
            </w:r>
          </w:p>
          <w:p w:rsidR="007F14C5" w:rsidRPr="00C11DDE" w:rsidRDefault="007F14C5" w:rsidP="009819AC">
            <w:pPr>
              <w:jc w:val="both"/>
            </w:pPr>
            <w:r w:rsidRPr="00C11DDE">
              <w:t xml:space="preserve">Brecon Primary Key Settlement: </w:t>
            </w:r>
            <w:r>
              <w:t>14</w:t>
            </w:r>
            <w:r w:rsidRPr="00C11DDE">
              <w:t>%</w:t>
            </w:r>
          </w:p>
          <w:p w:rsidR="007F14C5" w:rsidRPr="00C11DDE" w:rsidRDefault="007F14C5" w:rsidP="009819AC">
            <w:pPr>
              <w:jc w:val="both"/>
            </w:pPr>
            <w:r w:rsidRPr="00C11DDE">
              <w:t xml:space="preserve">Key Settlements: </w:t>
            </w:r>
            <w:r>
              <w:t>41</w:t>
            </w:r>
            <w:r w:rsidRPr="00C11DDE">
              <w:t>%</w:t>
            </w:r>
          </w:p>
          <w:p w:rsidR="007F14C5" w:rsidRPr="00C11DDE" w:rsidRDefault="007F14C5" w:rsidP="009819AC">
            <w:pPr>
              <w:jc w:val="both"/>
            </w:pPr>
            <w:r w:rsidRPr="00C11DDE">
              <w:t>Settlements:</w:t>
            </w:r>
            <w:r>
              <w:t xml:space="preserve"> 35% </w:t>
            </w:r>
          </w:p>
          <w:p w:rsidR="007F14C5" w:rsidRPr="00C11DDE" w:rsidRDefault="007F14C5" w:rsidP="009819AC">
            <w:pPr>
              <w:jc w:val="both"/>
            </w:pPr>
            <w:r w:rsidRPr="00C11DDE">
              <w:t xml:space="preserve">Limited Growth Settlements: </w:t>
            </w:r>
            <w:r>
              <w:t>5%</w:t>
            </w:r>
          </w:p>
          <w:p w:rsidR="007F14C5" w:rsidRDefault="007F14C5" w:rsidP="009819AC">
            <w:pPr>
              <w:jc w:val="both"/>
            </w:pPr>
            <w:r w:rsidRPr="00C11DDE">
              <w:t>Countryside:</w:t>
            </w:r>
            <w:r>
              <w:t xml:space="preserve"> 5%</w:t>
            </w:r>
          </w:p>
          <w:p w:rsidR="007F14C5" w:rsidRPr="009819AC" w:rsidRDefault="007F14C5" w:rsidP="009819AC">
            <w:pPr>
              <w:jc w:val="both"/>
              <w:rPr>
                <w:b/>
              </w:rPr>
            </w:pPr>
            <w:r>
              <w:t>Allocated Brownfield Sites: 0</w:t>
            </w:r>
          </w:p>
          <w:p w:rsidR="007F14C5" w:rsidRDefault="007F14C5" w:rsidP="009819AC">
            <w:pPr>
              <w:jc w:val="both"/>
              <w:rPr>
                <w:b/>
              </w:rPr>
            </w:pPr>
          </w:p>
          <w:p w:rsidR="007F14C5" w:rsidRDefault="007F14C5" w:rsidP="009819AC">
            <w:pPr>
              <w:jc w:val="both"/>
              <w:rPr>
                <w:b/>
              </w:rPr>
            </w:pPr>
            <w:r>
              <w:rPr>
                <w:b/>
              </w:rPr>
              <w:t>Completions 2015-2016</w:t>
            </w:r>
          </w:p>
          <w:p w:rsidR="007F14C5" w:rsidRPr="00C11DDE" w:rsidRDefault="007F14C5" w:rsidP="009819AC">
            <w:pPr>
              <w:jc w:val="both"/>
            </w:pPr>
            <w:r>
              <w:t>Brecon-9%</w:t>
            </w:r>
          </w:p>
          <w:p w:rsidR="007F14C5" w:rsidRPr="00C11DDE" w:rsidRDefault="007F14C5" w:rsidP="009819AC">
            <w:pPr>
              <w:jc w:val="both"/>
            </w:pPr>
            <w:r w:rsidRPr="00C11DDE">
              <w:t>Key Settlements</w:t>
            </w:r>
            <w:r>
              <w:t xml:space="preserve"> 9%</w:t>
            </w:r>
          </w:p>
          <w:p w:rsidR="007F14C5" w:rsidRDefault="007F14C5" w:rsidP="009819AC">
            <w:pPr>
              <w:jc w:val="both"/>
            </w:pPr>
            <w:r w:rsidRPr="00C11DDE">
              <w:t>Settlements:</w:t>
            </w:r>
            <w:r>
              <w:t xml:space="preserve"> 54%</w:t>
            </w:r>
          </w:p>
          <w:p w:rsidR="007F14C5" w:rsidRDefault="007F14C5" w:rsidP="009819AC">
            <w:pPr>
              <w:jc w:val="both"/>
            </w:pPr>
            <w:r>
              <w:t>Limited Growth Settlements 20%</w:t>
            </w:r>
          </w:p>
          <w:p w:rsidR="007F14C5" w:rsidRDefault="007F14C5" w:rsidP="009819AC">
            <w:pPr>
              <w:jc w:val="both"/>
            </w:pPr>
            <w:r>
              <w:t>Countryside: 9%</w:t>
            </w:r>
          </w:p>
          <w:p w:rsidR="007F14C5" w:rsidRPr="00AF4EE7" w:rsidRDefault="007F14C5" w:rsidP="00AF4EE7">
            <w:pPr>
              <w:jc w:val="both"/>
            </w:pPr>
            <w:r>
              <w:t>Allocated Brownfield Sites: 0</w:t>
            </w: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shd w:val="clear" w:color="auto" w:fill="D9D9D9" w:themeFill="background1" w:themeFillShade="D9"/>
          </w:tcPr>
          <w:p w:rsidR="007F14C5" w:rsidRDefault="007F14C5" w:rsidP="0065308E">
            <w:pPr>
              <w:jc w:val="both"/>
              <w:rPr>
                <w:b/>
              </w:rPr>
            </w:pPr>
            <w:r>
              <w:rPr>
                <w:b/>
              </w:rPr>
              <w:t>First</w:t>
            </w:r>
            <w:r w:rsidRPr="00565147">
              <w:rPr>
                <w:b/>
              </w:rPr>
              <w:t xml:space="preserve"> Monitoring Period:</w:t>
            </w:r>
          </w:p>
          <w:p w:rsidR="007F14C5" w:rsidRDefault="007F14C5" w:rsidP="00565147">
            <w:pPr>
              <w:jc w:val="both"/>
              <w:rPr>
                <w:b/>
              </w:rPr>
            </w:pPr>
          </w:p>
          <w:p w:rsidR="007F14C5" w:rsidRDefault="007F14C5" w:rsidP="00565147">
            <w:pPr>
              <w:jc w:val="both"/>
              <w:rPr>
                <w:b/>
              </w:rPr>
            </w:pPr>
            <w:r>
              <w:rPr>
                <w:b/>
              </w:rPr>
              <w:t>Permissions</w:t>
            </w:r>
          </w:p>
          <w:p w:rsidR="007F14C5" w:rsidRPr="00C11DDE" w:rsidRDefault="007F14C5" w:rsidP="00565147">
            <w:pPr>
              <w:jc w:val="both"/>
            </w:pPr>
            <w:r w:rsidRPr="00C11DDE">
              <w:t>Brecon Primary Key Settlement: 1%</w:t>
            </w:r>
          </w:p>
          <w:p w:rsidR="007F14C5" w:rsidRPr="00C11DDE" w:rsidRDefault="007F14C5" w:rsidP="00565147">
            <w:pPr>
              <w:jc w:val="both"/>
            </w:pPr>
            <w:r w:rsidRPr="00C11DDE">
              <w:t>Key Settlements: 8%</w:t>
            </w:r>
          </w:p>
          <w:p w:rsidR="007F14C5" w:rsidRPr="00C11DDE" w:rsidRDefault="007F14C5" w:rsidP="00565147">
            <w:pPr>
              <w:jc w:val="both"/>
            </w:pPr>
            <w:r w:rsidRPr="00C11DDE">
              <w:t>Settlements:</w:t>
            </w:r>
            <w:r>
              <w:t xml:space="preserve"> 88% </w:t>
            </w:r>
          </w:p>
          <w:p w:rsidR="007F14C5" w:rsidRPr="00C11DDE" w:rsidRDefault="007F14C5" w:rsidP="00565147">
            <w:pPr>
              <w:jc w:val="both"/>
            </w:pPr>
            <w:r w:rsidRPr="00C11DDE">
              <w:lastRenderedPageBreak/>
              <w:t xml:space="preserve">Limited Growth Settlements: </w:t>
            </w:r>
            <w:r>
              <w:t>3%</w:t>
            </w:r>
          </w:p>
          <w:p w:rsidR="007F14C5" w:rsidRDefault="007F14C5" w:rsidP="00565147">
            <w:pPr>
              <w:jc w:val="both"/>
            </w:pPr>
            <w:r w:rsidRPr="00C11DDE">
              <w:t>Countryside:</w:t>
            </w:r>
            <w:r>
              <w:t xml:space="preserve"> 0</w:t>
            </w:r>
          </w:p>
          <w:p w:rsidR="007F14C5" w:rsidRPr="009819AC" w:rsidRDefault="007F14C5" w:rsidP="00565147">
            <w:pPr>
              <w:jc w:val="both"/>
              <w:rPr>
                <w:b/>
              </w:rPr>
            </w:pPr>
            <w:r>
              <w:t>Allocated Brownfield Sites: 0</w:t>
            </w:r>
          </w:p>
          <w:p w:rsidR="007F14C5" w:rsidRDefault="007F14C5" w:rsidP="00565147">
            <w:pPr>
              <w:jc w:val="both"/>
              <w:rPr>
                <w:b/>
              </w:rPr>
            </w:pPr>
          </w:p>
          <w:p w:rsidR="007F14C5" w:rsidRDefault="007F14C5" w:rsidP="00565147">
            <w:pPr>
              <w:jc w:val="both"/>
              <w:rPr>
                <w:b/>
              </w:rPr>
            </w:pPr>
            <w:r>
              <w:rPr>
                <w:b/>
              </w:rPr>
              <w:t>Completions 2013-2014</w:t>
            </w:r>
          </w:p>
          <w:p w:rsidR="007F14C5" w:rsidRPr="00C11DDE" w:rsidRDefault="007F14C5" w:rsidP="00565147">
            <w:pPr>
              <w:jc w:val="both"/>
            </w:pPr>
            <w:r>
              <w:t>Brecon-0</w:t>
            </w:r>
          </w:p>
          <w:p w:rsidR="007F14C5" w:rsidRPr="00C11DDE" w:rsidRDefault="007F14C5" w:rsidP="00565147">
            <w:pPr>
              <w:jc w:val="both"/>
            </w:pPr>
            <w:r w:rsidRPr="00C11DDE">
              <w:t>Key Settlements</w:t>
            </w:r>
            <w:r>
              <w:t xml:space="preserve"> 0</w:t>
            </w:r>
          </w:p>
          <w:p w:rsidR="007F14C5" w:rsidRDefault="007F14C5" w:rsidP="00565147">
            <w:pPr>
              <w:jc w:val="both"/>
            </w:pPr>
            <w:r w:rsidRPr="00C11DDE">
              <w:t>Settlements:</w:t>
            </w:r>
            <w:r>
              <w:t xml:space="preserve"> 45%</w:t>
            </w:r>
          </w:p>
          <w:p w:rsidR="007F14C5" w:rsidRDefault="007F14C5" w:rsidP="00565147">
            <w:pPr>
              <w:jc w:val="both"/>
            </w:pPr>
            <w:r>
              <w:t>Limited Growth Settlements 0</w:t>
            </w:r>
          </w:p>
          <w:p w:rsidR="007F14C5" w:rsidRDefault="007F14C5" w:rsidP="00565147">
            <w:pPr>
              <w:jc w:val="both"/>
            </w:pPr>
            <w:r>
              <w:t>Countryside: 55%</w:t>
            </w:r>
          </w:p>
          <w:p w:rsidR="007F14C5" w:rsidRDefault="007F14C5" w:rsidP="00565147">
            <w:pPr>
              <w:jc w:val="both"/>
            </w:pPr>
            <w:r>
              <w:t>Allocated Brownfield Sites: 0</w:t>
            </w:r>
          </w:p>
          <w:p w:rsidR="007F14C5" w:rsidRDefault="007F14C5" w:rsidP="00565147">
            <w:pPr>
              <w:jc w:val="both"/>
            </w:pPr>
          </w:p>
          <w:p w:rsidR="007F14C5" w:rsidRPr="00BF7F0D" w:rsidRDefault="007F14C5" w:rsidP="00565147">
            <w:pPr>
              <w:jc w:val="both"/>
              <w:rPr>
                <w:b/>
              </w:rPr>
            </w:pPr>
            <w:r w:rsidRPr="00BF7F0D">
              <w:rPr>
                <w:b/>
              </w:rPr>
              <w:t>Completions 2014-2015</w:t>
            </w:r>
          </w:p>
          <w:p w:rsidR="007F14C5" w:rsidRPr="00C11DDE" w:rsidRDefault="007F14C5" w:rsidP="00565147">
            <w:pPr>
              <w:jc w:val="both"/>
            </w:pPr>
            <w:r>
              <w:t>Brecon-0</w:t>
            </w:r>
          </w:p>
          <w:p w:rsidR="007F14C5" w:rsidRPr="00C11DDE" w:rsidRDefault="007F14C5" w:rsidP="00565147">
            <w:pPr>
              <w:jc w:val="both"/>
            </w:pPr>
            <w:r w:rsidRPr="00C11DDE">
              <w:t>Key Settlements</w:t>
            </w:r>
            <w:r>
              <w:t xml:space="preserve"> 14%</w:t>
            </w:r>
          </w:p>
          <w:p w:rsidR="007F14C5" w:rsidRDefault="007F14C5" w:rsidP="00565147">
            <w:pPr>
              <w:jc w:val="both"/>
            </w:pPr>
            <w:r w:rsidRPr="00C11DDE">
              <w:t>Settlements:</w:t>
            </w:r>
            <w:r>
              <w:t xml:space="preserve"> 16%</w:t>
            </w:r>
          </w:p>
          <w:p w:rsidR="007F14C5" w:rsidRDefault="007F14C5" w:rsidP="00565147">
            <w:pPr>
              <w:jc w:val="both"/>
            </w:pPr>
            <w:r>
              <w:t>Limited Growth Settlements 24%</w:t>
            </w:r>
          </w:p>
          <w:p w:rsidR="007F14C5" w:rsidRDefault="007F14C5" w:rsidP="00565147">
            <w:pPr>
              <w:jc w:val="both"/>
            </w:pPr>
            <w:r>
              <w:t>Countryside: 46%</w:t>
            </w:r>
          </w:p>
          <w:p w:rsidR="007F14C5" w:rsidRDefault="007F14C5" w:rsidP="00565147">
            <w:pPr>
              <w:jc w:val="both"/>
              <w:rPr>
                <w:b/>
              </w:rPr>
            </w:pPr>
            <w:r>
              <w:t>Allocated Brownfield Sites: 0</w:t>
            </w:r>
          </w:p>
          <w:p w:rsidR="007F14C5" w:rsidRDefault="007F14C5" w:rsidP="0065308E">
            <w:pPr>
              <w:jc w:val="both"/>
              <w:rPr>
                <w:b/>
              </w:rPr>
            </w:pP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tcPr>
          <w:p w:rsidR="007F14C5" w:rsidRDefault="007F14C5" w:rsidP="0065308E">
            <w:pPr>
              <w:jc w:val="both"/>
              <w:rPr>
                <w:b/>
              </w:rPr>
            </w:pPr>
            <w:r>
              <w:rPr>
                <w:b/>
              </w:rPr>
              <w:t xml:space="preserve">Comments: </w:t>
            </w:r>
          </w:p>
          <w:p w:rsidR="00F1243A" w:rsidRPr="00F1243A" w:rsidRDefault="00F1243A" w:rsidP="00B73BDB">
            <w:pPr>
              <w:jc w:val="both"/>
              <w:rPr>
                <w:b/>
                <w:i/>
              </w:rPr>
            </w:pPr>
            <w:r w:rsidRPr="00F1243A">
              <w:rPr>
                <w:b/>
                <w:i/>
              </w:rPr>
              <w:t>Permissions:</w:t>
            </w:r>
          </w:p>
          <w:p w:rsidR="00D46564" w:rsidRDefault="00B73BDB" w:rsidP="00B73BDB">
            <w:pPr>
              <w:jc w:val="both"/>
            </w:pPr>
            <w:r>
              <w:t>One of the objectives of the LDP is to encourage development in sustainable locations near facilities and services therefore minimising the need to travel, whilst also respecting the National Park purposes and special qualities.</w:t>
            </w:r>
            <w:r w:rsidR="00D46564">
              <w:t xml:space="preserve">  It is therefore encouraging to see the continuation of the majority of residential units granted planning permission being located within either the Primary Key Settlement of Brecon or the Key Settlements of Crickhowell, Hay-On-Wye, Talgarth and Sennybridge and Defynnog.</w:t>
            </w:r>
          </w:p>
          <w:p w:rsidR="00F1243A" w:rsidRDefault="00F1243A" w:rsidP="00B73BDB">
            <w:pPr>
              <w:jc w:val="both"/>
            </w:pPr>
          </w:p>
          <w:p w:rsidR="00F1243A" w:rsidRDefault="00FE402A" w:rsidP="00B73BDB">
            <w:pPr>
              <w:jc w:val="both"/>
            </w:pPr>
            <w:r>
              <w:t xml:space="preserve">This is a three year indicator with an assessment trigger of more than 50% of dwellings granted planning permission being outside the Primary Key and Key Settlements.  Since the commencement of monitoring in December 2013 a total of 499 dwellings have been granted planning permission – 209 of which located within the Primary Key and Key Settlements.  This equates to 42% which falls 8% below the assessment target figure.  </w:t>
            </w:r>
          </w:p>
          <w:p w:rsidR="00BD6CD2" w:rsidRDefault="00BD6CD2" w:rsidP="00B73BDB">
            <w:pPr>
              <w:jc w:val="both"/>
            </w:pPr>
          </w:p>
          <w:p w:rsidR="00BD6CD2" w:rsidRDefault="00BD6CD2" w:rsidP="00BD6CD2">
            <w:pPr>
              <w:jc w:val="both"/>
            </w:pPr>
            <w:r>
              <w:lastRenderedPageBreak/>
              <w:t>It is reasonable to suggest that the proportion of development that at this time has been granted planning permission (and completed) in the Primary Key Settlement of Brecon is relatively low.  This has not been helped by the recent refusal of an application relating to allocated site CS132 Land Opposite the High School (indicatively for 137 dwellings) by reason of an insufficient provision of Affordable Housing.  Furthermore, the granting of planning permission on relatively large allocated sites at CS102 Dan Y Bryn and Lancaster Drive (112 units) and CS66 Cwrt Y Gollen (70) within a Level 3 Settlement and Allocated Brownfield Site respectively has served to skew the figures somewhat.</w:t>
            </w:r>
          </w:p>
          <w:p w:rsidR="00FE402A" w:rsidRDefault="00FE402A" w:rsidP="00B73BDB">
            <w:pPr>
              <w:jc w:val="both"/>
            </w:pPr>
          </w:p>
          <w:p w:rsidR="00FE402A" w:rsidRDefault="00BD6CD2" w:rsidP="00FE402A">
            <w:pPr>
              <w:jc w:val="both"/>
            </w:pPr>
            <w:r>
              <w:t>However, i</w:t>
            </w:r>
            <w:r w:rsidR="00FE402A">
              <w:t xml:space="preserve">t should be noted that a </w:t>
            </w:r>
            <w:r>
              <w:t xml:space="preserve">significant </w:t>
            </w:r>
            <w:r w:rsidR="00FE402A">
              <w:t xml:space="preserve">barrier for development in Brecon has been a lack of capacity within Dwr Cymru Welsh Water’s sewerage and water infrastructure.  It is envisaged that this issue will be largely addressed by March 2018 further to the completion of their asset management programme.   Indeed, applications and pre-application enquiries have been received in relation to a number of the allocated sites </w:t>
            </w:r>
            <w:r>
              <w:t xml:space="preserve">in readiness for the March 2018 date </w:t>
            </w:r>
            <w:r w:rsidR="00FE402A">
              <w:t>with a view to progressing these up to and beyond the stage where the infrastructure works are completed.</w:t>
            </w:r>
          </w:p>
          <w:p w:rsidR="00D46564" w:rsidRDefault="00D46564" w:rsidP="00B73BDB">
            <w:pPr>
              <w:jc w:val="both"/>
            </w:pPr>
          </w:p>
          <w:p w:rsidR="000D4890" w:rsidRDefault="00BD6CD2" w:rsidP="00BD6CD2">
            <w:pPr>
              <w:jc w:val="both"/>
            </w:pPr>
            <w:r>
              <w:t>Nevertheless, a</w:t>
            </w:r>
            <w:r w:rsidR="00FE402A">
              <w:t xml:space="preserve"> notable shift and improvement has occurred since the first </w:t>
            </w:r>
            <w:r>
              <w:t xml:space="preserve"> </w:t>
            </w:r>
            <w:r w:rsidR="00FE402A">
              <w:t>monitoring pe</w:t>
            </w:r>
            <w:r>
              <w:t>riod (December 2013-March 2015).  Since allocated site CS102 in Gilwern was granted planning permission during that monitoring period, a number of allocated sites within Key Settlements</w:t>
            </w:r>
            <w:r w:rsidR="000D4890">
              <w:t xml:space="preserve"> have been progressed in the two more recent monitoring periods.  These are:</w:t>
            </w:r>
          </w:p>
          <w:p w:rsidR="00B73BDB" w:rsidRDefault="000D4890" w:rsidP="000D4890">
            <w:pPr>
              <w:pStyle w:val="ListParagraph"/>
              <w:numPr>
                <w:ilvl w:val="0"/>
                <w:numId w:val="23"/>
              </w:numPr>
              <w:jc w:val="both"/>
            </w:pPr>
            <w:r>
              <w:t xml:space="preserve">SALT 061 Land at Llangenny Lane, Crickhowell </w:t>
            </w:r>
          </w:p>
          <w:p w:rsidR="000D4890" w:rsidRDefault="000D4890" w:rsidP="000D4890">
            <w:pPr>
              <w:pStyle w:val="ListParagraph"/>
              <w:numPr>
                <w:ilvl w:val="0"/>
                <w:numId w:val="23"/>
              </w:numPr>
              <w:jc w:val="both"/>
            </w:pPr>
            <w:r>
              <w:t>DBR-HOW-A Land Opposite the Meadows, Hay-On-Wye</w:t>
            </w:r>
          </w:p>
          <w:p w:rsidR="000D4890" w:rsidRDefault="000D4890" w:rsidP="000D4890">
            <w:pPr>
              <w:pStyle w:val="ListParagraph"/>
              <w:numPr>
                <w:ilvl w:val="0"/>
                <w:numId w:val="23"/>
              </w:numPr>
              <w:jc w:val="both"/>
            </w:pPr>
            <w:r>
              <w:t xml:space="preserve">DBR-CR-A Land above the Televillage, Crickhowell </w:t>
            </w:r>
          </w:p>
          <w:p w:rsidR="000D4890" w:rsidRDefault="000D4890" w:rsidP="00BD6CD2">
            <w:pPr>
              <w:jc w:val="both"/>
            </w:pPr>
          </w:p>
          <w:p w:rsidR="000D4890" w:rsidRPr="000D4890" w:rsidRDefault="000D4890" w:rsidP="00BD6CD2">
            <w:pPr>
              <w:jc w:val="both"/>
              <w:rPr>
                <w:b/>
                <w:i/>
              </w:rPr>
            </w:pPr>
            <w:r w:rsidRPr="000D4890">
              <w:rPr>
                <w:b/>
                <w:i/>
              </w:rPr>
              <w:t>Completions:</w:t>
            </w:r>
          </w:p>
          <w:p w:rsidR="000D4890" w:rsidRDefault="000D4890" w:rsidP="00BD6CD2">
            <w:pPr>
              <w:jc w:val="both"/>
            </w:pPr>
            <w:r>
              <w:t>This indicator requires the following locational proportion of completions:</w:t>
            </w:r>
          </w:p>
          <w:p w:rsidR="000D4890" w:rsidRDefault="000D4890" w:rsidP="00BD6CD2">
            <w:pPr>
              <w:jc w:val="both"/>
            </w:pPr>
          </w:p>
          <w:p w:rsidR="000D4890" w:rsidRDefault="000D4890" w:rsidP="000D4890">
            <w:pPr>
              <w:pStyle w:val="ListParagraph"/>
              <w:numPr>
                <w:ilvl w:val="0"/>
                <w:numId w:val="24"/>
              </w:numPr>
              <w:jc w:val="both"/>
            </w:pPr>
            <w:r>
              <w:t>Primary Key Settlement – 31%</w:t>
            </w:r>
          </w:p>
          <w:p w:rsidR="000D4890" w:rsidRDefault="000D4890" w:rsidP="000D4890">
            <w:pPr>
              <w:pStyle w:val="ListParagraph"/>
              <w:numPr>
                <w:ilvl w:val="0"/>
                <w:numId w:val="24"/>
              </w:numPr>
              <w:jc w:val="both"/>
            </w:pPr>
            <w:r>
              <w:t>Key Settlements – 16%</w:t>
            </w:r>
          </w:p>
          <w:p w:rsidR="000D4890" w:rsidRDefault="000D4890" w:rsidP="000D4890">
            <w:pPr>
              <w:pStyle w:val="ListParagraph"/>
              <w:numPr>
                <w:ilvl w:val="0"/>
                <w:numId w:val="24"/>
              </w:numPr>
              <w:jc w:val="both"/>
            </w:pPr>
            <w:r>
              <w:t>Settlements – 36%</w:t>
            </w:r>
          </w:p>
          <w:p w:rsidR="000D4890" w:rsidRDefault="000D4890" w:rsidP="000D4890">
            <w:pPr>
              <w:pStyle w:val="ListParagraph"/>
              <w:numPr>
                <w:ilvl w:val="0"/>
                <w:numId w:val="24"/>
              </w:numPr>
              <w:jc w:val="both"/>
            </w:pPr>
            <w:r>
              <w:t xml:space="preserve">Allocated </w:t>
            </w:r>
            <w:r w:rsidR="00B2479A">
              <w:t xml:space="preserve">Brownfield Sites </w:t>
            </w:r>
            <w:r>
              <w:t>– 17%</w:t>
            </w:r>
          </w:p>
          <w:p w:rsidR="00B2479A" w:rsidRDefault="00B2479A" w:rsidP="00BD6CD2">
            <w:pPr>
              <w:jc w:val="both"/>
            </w:pPr>
          </w:p>
          <w:p w:rsidR="00FE02C8" w:rsidRDefault="00FE02C8" w:rsidP="00BD6CD2">
            <w:pPr>
              <w:jc w:val="both"/>
            </w:pPr>
            <w:r>
              <w:t>The percentage (and number) of completions per settlement tier for the years since the adoption of the LDP is set out in the table below:</w:t>
            </w:r>
          </w:p>
          <w:p w:rsidR="00FE02C8" w:rsidRDefault="00FE02C8" w:rsidP="00BD6CD2">
            <w:pPr>
              <w:jc w:val="both"/>
            </w:pPr>
          </w:p>
          <w:tbl>
            <w:tblPr>
              <w:tblStyle w:val="TableGrid"/>
              <w:tblW w:w="0" w:type="auto"/>
              <w:tblLook w:val="04A0" w:firstRow="1" w:lastRow="0" w:firstColumn="1" w:lastColumn="0" w:noHBand="0" w:noVBand="1"/>
            </w:tblPr>
            <w:tblGrid>
              <w:gridCol w:w="1175"/>
              <w:gridCol w:w="1175"/>
              <w:gridCol w:w="1233"/>
              <w:gridCol w:w="1233"/>
              <w:gridCol w:w="1233"/>
              <w:gridCol w:w="1225"/>
            </w:tblGrid>
            <w:tr w:rsidR="00FE02C8" w:rsidTr="00FE02C8">
              <w:tc>
                <w:tcPr>
                  <w:tcW w:w="1212" w:type="dxa"/>
                  <w:shd w:val="clear" w:color="auto" w:fill="A6A6A6" w:themeFill="background1" w:themeFillShade="A6"/>
                </w:tcPr>
                <w:p w:rsidR="00FE02C8" w:rsidRPr="00FE02C8" w:rsidRDefault="00FE02C8" w:rsidP="00BD6CD2">
                  <w:pPr>
                    <w:jc w:val="both"/>
                    <w:rPr>
                      <w:b/>
                    </w:rPr>
                  </w:pPr>
                  <w:r w:rsidRPr="00FE02C8">
                    <w:rPr>
                      <w:b/>
                    </w:rPr>
                    <w:t>Year</w:t>
                  </w:r>
                </w:p>
              </w:tc>
              <w:tc>
                <w:tcPr>
                  <w:tcW w:w="1212" w:type="dxa"/>
                  <w:shd w:val="clear" w:color="auto" w:fill="A6A6A6" w:themeFill="background1" w:themeFillShade="A6"/>
                </w:tcPr>
                <w:p w:rsidR="00FE02C8" w:rsidRPr="00FE02C8" w:rsidRDefault="00FE02C8" w:rsidP="00BD6CD2">
                  <w:pPr>
                    <w:jc w:val="both"/>
                    <w:rPr>
                      <w:b/>
                    </w:rPr>
                  </w:pPr>
                  <w:r w:rsidRPr="00FE02C8">
                    <w:rPr>
                      <w:b/>
                    </w:rPr>
                    <w:t>Number</w:t>
                  </w:r>
                </w:p>
              </w:tc>
              <w:tc>
                <w:tcPr>
                  <w:tcW w:w="1212" w:type="dxa"/>
                  <w:shd w:val="clear" w:color="auto" w:fill="A6A6A6" w:themeFill="background1" w:themeFillShade="A6"/>
                </w:tcPr>
                <w:p w:rsidR="00FE02C8" w:rsidRPr="00FE02C8" w:rsidRDefault="00FE02C8" w:rsidP="00BD6CD2">
                  <w:pPr>
                    <w:jc w:val="both"/>
                    <w:rPr>
                      <w:b/>
                    </w:rPr>
                  </w:pPr>
                  <w:r w:rsidRPr="00FE02C8">
                    <w:rPr>
                      <w:b/>
                    </w:rPr>
                    <w:t>% within Primary Settlement</w:t>
                  </w:r>
                  <w:r>
                    <w:rPr>
                      <w:b/>
                    </w:rPr>
                    <w:t xml:space="preserve"> (number)</w:t>
                  </w:r>
                </w:p>
              </w:tc>
              <w:tc>
                <w:tcPr>
                  <w:tcW w:w="1212" w:type="dxa"/>
                  <w:shd w:val="clear" w:color="auto" w:fill="A6A6A6" w:themeFill="background1" w:themeFillShade="A6"/>
                </w:tcPr>
                <w:p w:rsidR="00FE02C8" w:rsidRDefault="00FE02C8" w:rsidP="00BD6CD2">
                  <w:pPr>
                    <w:jc w:val="both"/>
                    <w:rPr>
                      <w:b/>
                    </w:rPr>
                  </w:pPr>
                  <w:r w:rsidRPr="00FE02C8">
                    <w:rPr>
                      <w:b/>
                    </w:rPr>
                    <w:t>% within Key Settlement</w:t>
                  </w:r>
                </w:p>
                <w:p w:rsidR="00FE02C8" w:rsidRPr="00FE02C8" w:rsidRDefault="00FE02C8" w:rsidP="00BD6CD2">
                  <w:pPr>
                    <w:jc w:val="both"/>
                    <w:rPr>
                      <w:b/>
                    </w:rPr>
                  </w:pPr>
                  <w:r>
                    <w:rPr>
                      <w:b/>
                    </w:rPr>
                    <w:t>(number)</w:t>
                  </w:r>
                  <w:r w:rsidRPr="00FE02C8">
                    <w:rPr>
                      <w:b/>
                    </w:rPr>
                    <w:t xml:space="preserve"> </w:t>
                  </w:r>
                </w:p>
              </w:tc>
              <w:tc>
                <w:tcPr>
                  <w:tcW w:w="1213" w:type="dxa"/>
                  <w:shd w:val="clear" w:color="auto" w:fill="A6A6A6" w:themeFill="background1" w:themeFillShade="A6"/>
                </w:tcPr>
                <w:p w:rsidR="00FE02C8" w:rsidRPr="00FE02C8" w:rsidRDefault="00FE02C8" w:rsidP="00BD6CD2">
                  <w:pPr>
                    <w:jc w:val="both"/>
                    <w:rPr>
                      <w:b/>
                    </w:rPr>
                  </w:pPr>
                  <w:r w:rsidRPr="00FE02C8">
                    <w:rPr>
                      <w:b/>
                    </w:rPr>
                    <w:t>% within Settlement</w:t>
                  </w:r>
                  <w:r>
                    <w:rPr>
                      <w:b/>
                    </w:rPr>
                    <w:t xml:space="preserve"> (number)</w:t>
                  </w:r>
                </w:p>
              </w:tc>
              <w:tc>
                <w:tcPr>
                  <w:tcW w:w="1213" w:type="dxa"/>
                  <w:shd w:val="clear" w:color="auto" w:fill="A6A6A6" w:themeFill="background1" w:themeFillShade="A6"/>
                </w:tcPr>
                <w:p w:rsidR="00FE02C8" w:rsidRPr="00FE02C8" w:rsidRDefault="00FE02C8" w:rsidP="00BD6CD2">
                  <w:pPr>
                    <w:jc w:val="both"/>
                    <w:rPr>
                      <w:b/>
                    </w:rPr>
                  </w:pPr>
                  <w:r w:rsidRPr="00FE02C8">
                    <w:rPr>
                      <w:b/>
                    </w:rPr>
                    <w:t>% within Allocated Brownfield</w:t>
                  </w:r>
                  <w:r>
                    <w:rPr>
                      <w:b/>
                    </w:rPr>
                    <w:t xml:space="preserve"> (number)</w:t>
                  </w:r>
                </w:p>
              </w:tc>
            </w:tr>
            <w:tr w:rsidR="00FE02C8" w:rsidTr="00FE02C8">
              <w:tc>
                <w:tcPr>
                  <w:tcW w:w="1212" w:type="dxa"/>
                  <w:shd w:val="clear" w:color="auto" w:fill="D9D9D9" w:themeFill="background1" w:themeFillShade="D9"/>
                </w:tcPr>
                <w:p w:rsidR="00FE02C8" w:rsidRDefault="00FE02C8" w:rsidP="00BD6CD2">
                  <w:pPr>
                    <w:jc w:val="both"/>
                  </w:pPr>
                  <w:r>
                    <w:t>2013/14</w:t>
                  </w:r>
                </w:p>
              </w:tc>
              <w:tc>
                <w:tcPr>
                  <w:tcW w:w="1212" w:type="dxa"/>
                </w:tcPr>
                <w:p w:rsidR="00FE02C8" w:rsidRDefault="00FE02C8" w:rsidP="00BD6CD2">
                  <w:pPr>
                    <w:jc w:val="both"/>
                  </w:pPr>
                  <w:r>
                    <w:t>64</w:t>
                  </w:r>
                </w:p>
              </w:tc>
              <w:tc>
                <w:tcPr>
                  <w:tcW w:w="1212" w:type="dxa"/>
                </w:tcPr>
                <w:p w:rsidR="00FE02C8" w:rsidRDefault="00FE02C8" w:rsidP="00BD6CD2">
                  <w:pPr>
                    <w:jc w:val="both"/>
                  </w:pPr>
                  <w:r>
                    <w:t>0 (0)</w:t>
                  </w:r>
                </w:p>
              </w:tc>
              <w:tc>
                <w:tcPr>
                  <w:tcW w:w="1212" w:type="dxa"/>
                </w:tcPr>
                <w:p w:rsidR="00FE02C8" w:rsidRDefault="00FE02C8" w:rsidP="00BD6CD2">
                  <w:pPr>
                    <w:jc w:val="both"/>
                  </w:pPr>
                  <w:r>
                    <w:t>0 (0)</w:t>
                  </w:r>
                </w:p>
              </w:tc>
              <w:tc>
                <w:tcPr>
                  <w:tcW w:w="1213" w:type="dxa"/>
                </w:tcPr>
                <w:p w:rsidR="00FE02C8" w:rsidRDefault="00FE02C8" w:rsidP="00BD6CD2">
                  <w:pPr>
                    <w:jc w:val="both"/>
                  </w:pPr>
                  <w:r>
                    <w:t>45</w:t>
                  </w:r>
                  <w:r w:rsidR="00D96DEE">
                    <w:t xml:space="preserve"> (29)</w:t>
                  </w:r>
                </w:p>
              </w:tc>
              <w:tc>
                <w:tcPr>
                  <w:tcW w:w="1213" w:type="dxa"/>
                </w:tcPr>
                <w:p w:rsidR="00FE02C8" w:rsidRDefault="00FE02C8" w:rsidP="00BD6CD2">
                  <w:pPr>
                    <w:jc w:val="both"/>
                  </w:pPr>
                  <w:r>
                    <w:t>0</w:t>
                  </w:r>
                  <w:r w:rsidR="00D96DEE">
                    <w:t xml:space="preserve"> (0)</w:t>
                  </w:r>
                </w:p>
              </w:tc>
            </w:tr>
            <w:tr w:rsidR="00FE02C8" w:rsidTr="00FE02C8">
              <w:tc>
                <w:tcPr>
                  <w:tcW w:w="1212" w:type="dxa"/>
                  <w:shd w:val="clear" w:color="auto" w:fill="D9D9D9" w:themeFill="background1" w:themeFillShade="D9"/>
                </w:tcPr>
                <w:p w:rsidR="00FE02C8" w:rsidRDefault="00FE02C8" w:rsidP="00BD6CD2">
                  <w:pPr>
                    <w:jc w:val="both"/>
                  </w:pPr>
                  <w:r>
                    <w:t>2014/15</w:t>
                  </w:r>
                </w:p>
              </w:tc>
              <w:tc>
                <w:tcPr>
                  <w:tcW w:w="1212" w:type="dxa"/>
                </w:tcPr>
                <w:p w:rsidR="00FE02C8" w:rsidRDefault="00FE02C8" w:rsidP="00BD6CD2">
                  <w:pPr>
                    <w:jc w:val="both"/>
                  </w:pPr>
                  <w:r>
                    <w:t>45</w:t>
                  </w:r>
                </w:p>
              </w:tc>
              <w:tc>
                <w:tcPr>
                  <w:tcW w:w="1212" w:type="dxa"/>
                </w:tcPr>
                <w:p w:rsidR="00FE02C8" w:rsidRDefault="00FE02C8" w:rsidP="00BD6CD2">
                  <w:pPr>
                    <w:jc w:val="both"/>
                  </w:pPr>
                  <w:r>
                    <w:t>0 (0)</w:t>
                  </w:r>
                </w:p>
              </w:tc>
              <w:tc>
                <w:tcPr>
                  <w:tcW w:w="1212" w:type="dxa"/>
                </w:tcPr>
                <w:p w:rsidR="00FE02C8" w:rsidRDefault="00FE02C8" w:rsidP="00BD6CD2">
                  <w:pPr>
                    <w:jc w:val="both"/>
                  </w:pPr>
                  <w:r>
                    <w:t>14</w:t>
                  </w:r>
                  <w:r w:rsidR="00D96DEE">
                    <w:t xml:space="preserve"> (6)</w:t>
                  </w:r>
                </w:p>
              </w:tc>
              <w:tc>
                <w:tcPr>
                  <w:tcW w:w="1213" w:type="dxa"/>
                </w:tcPr>
                <w:p w:rsidR="00FE02C8" w:rsidRDefault="00FE02C8" w:rsidP="00BD6CD2">
                  <w:pPr>
                    <w:jc w:val="both"/>
                  </w:pPr>
                  <w:r>
                    <w:t>16</w:t>
                  </w:r>
                  <w:r w:rsidR="00D96DEE">
                    <w:t xml:space="preserve"> (7)</w:t>
                  </w:r>
                </w:p>
              </w:tc>
              <w:tc>
                <w:tcPr>
                  <w:tcW w:w="1213" w:type="dxa"/>
                </w:tcPr>
                <w:p w:rsidR="00FE02C8" w:rsidRDefault="00FE02C8" w:rsidP="00BD6CD2">
                  <w:pPr>
                    <w:jc w:val="both"/>
                  </w:pPr>
                  <w:r>
                    <w:t>0</w:t>
                  </w:r>
                  <w:r w:rsidR="00D96DEE">
                    <w:t xml:space="preserve"> (0)</w:t>
                  </w:r>
                </w:p>
              </w:tc>
            </w:tr>
            <w:tr w:rsidR="00FE02C8" w:rsidTr="00FE02C8">
              <w:tc>
                <w:tcPr>
                  <w:tcW w:w="1212" w:type="dxa"/>
                  <w:shd w:val="clear" w:color="auto" w:fill="D9D9D9" w:themeFill="background1" w:themeFillShade="D9"/>
                </w:tcPr>
                <w:p w:rsidR="00FE02C8" w:rsidRDefault="00FE02C8" w:rsidP="00BD6CD2">
                  <w:pPr>
                    <w:jc w:val="both"/>
                  </w:pPr>
                  <w:r>
                    <w:t>2015/16</w:t>
                  </w:r>
                </w:p>
              </w:tc>
              <w:tc>
                <w:tcPr>
                  <w:tcW w:w="1212" w:type="dxa"/>
                </w:tcPr>
                <w:p w:rsidR="00FE02C8" w:rsidRDefault="00FE02C8" w:rsidP="00BD6CD2">
                  <w:pPr>
                    <w:jc w:val="both"/>
                  </w:pPr>
                  <w:r>
                    <w:t>58</w:t>
                  </w:r>
                </w:p>
              </w:tc>
              <w:tc>
                <w:tcPr>
                  <w:tcW w:w="1212" w:type="dxa"/>
                </w:tcPr>
                <w:p w:rsidR="00FE02C8" w:rsidRDefault="00FE02C8" w:rsidP="00BD6CD2">
                  <w:pPr>
                    <w:jc w:val="both"/>
                  </w:pPr>
                  <w:r>
                    <w:t>9 (5)</w:t>
                  </w:r>
                </w:p>
              </w:tc>
              <w:tc>
                <w:tcPr>
                  <w:tcW w:w="1212" w:type="dxa"/>
                </w:tcPr>
                <w:p w:rsidR="00FE02C8" w:rsidRDefault="00FE02C8" w:rsidP="00BD6CD2">
                  <w:pPr>
                    <w:jc w:val="both"/>
                  </w:pPr>
                  <w:r>
                    <w:t>9</w:t>
                  </w:r>
                  <w:r w:rsidR="00D96DEE">
                    <w:t xml:space="preserve"> (5)</w:t>
                  </w:r>
                </w:p>
              </w:tc>
              <w:tc>
                <w:tcPr>
                  <w:tcW w:w="1213" w:type="dxa"/>
                </w:tcPr>
                <w:p w:rsidR="00FE02C8" w:rsidRDefault="00FE02C8" w:rsidP="00BD6CD2">
                  <w:pPr>
                    <w:jc w:val="both"/>
                  </w:pPr>
                  <w:r>
                    <w:t>54</w:t>
                  </w:r>
                  <w:r w:rsidR="00D96DEE">
                    <w:t xml:space="preserve"> (31)</w:t>
                  </w:r>
                </w:p>
              </w:tc>
              <w:tc>
                <w:tcPr>
                  <w:tcW w:w="1213" w:type="dxa"/>
                </w:tcPr>
                <w:p w:rsidR="00FE02C8" w:rsidRDefault="00FE02C8" w:rsidP="00BD6CD2">
                  <w:pPr>
                    <w:jc w:val="both"/>
                  </w:pPr>
                  <w:r>
                    <w:t>0</w:t>
                  </w:r>
                  <w:r w:rsidR="00D96DEE">
                    <w:t xml:space="preserve"> (0)</w:t>
                  </w:r>
                </w:p>
              </w:tc>
            </w:tr>
            <w:tr w:rsidR="00FE02C8" w:rsidTr="00FE02C8">
              <w:tc>
                <w:tcPr>
                  <w:tcW w:w="1212" w:type="dxa"/>
                  <w:shd w:val="clear" w:color="auto" w:fill="D9D9D9" w:themeFill="background1" w:themeFillShade="D9"/>
                </w:tcPr>
                <w:p w:rsidR="00FE02C8" w:rsidRDefault="00FE02C8" w:rsidP="00BD6CD2">
                  <w:pPr>
                    <w:jc w:val="both"/>
                  </w:pPr>
                  <w:r>
                    <w:t>2016/17</w:t>
                  </w:r>
                </w:p>
              </w:tc>
              <w:tc>
                <w:tcPr>
                  <w:tcW w:w="1212" w:type="dxa"/>
                </w:tcPr>
                <w:p w:rsidR="00FE02C8" w:rsidRDefault="00FE02C8" w:rsidP="00BD6CD2">
                  <w:pPr>
                    <w:jc w:val="both"/>
                  </w:pPr>
                  <w:r>
                    <w:t>52</w:t>
                  </w:r>
                </w:p>
              </w:tc>
              <w:tc>
                <w:tcPr>
                  <w:tcW w:w="1212" w:type="dxa"/>
                </w:tcPr>
                <w:p w:rsidR="00FE02C8" w:rsidRDefault="00FE02C8" w:rsidP="00BD6CD2">
                  <w:pPr>
                    <w:jc w:val="both"/>
                  </w:pPr>
                  <w:r>
                    <w:t>6 (3)</w:t>
                  </w:r>
                </w:p>
              </w:tc>
              <w:tc>
                <w:tcPr>
                  <w:tcW w:w="1212" w:type="dxa"/>
                </w:tcPr>
                <w:p w:rsidR="00FE02C8" w:rsidRDefault="00FE02C8" w:rsidP="00BD6CD2">
                  <w:pPr>
                    <w:jc w:val="both"/>
                  </w:pPr>
                  <w:r>
                    <w:t>8</w:t>
                  </w:r>
                  <w:r w:rsidR="00D96DEE">
                    <w:t xml:space="preserve"> (4)</w:t>
                  </w:r>
                </w:p>
              </w:tc>
              <w:tc>
                <w:tcPr>
                  <w:tcW w:w="1213" w:type="dxa"/>
                </w:tcPr>
                <w:p w:rsidR="00FE02C8" w:rsidRDefault="00FE02C8" w:rsidP="00BD6CD2">
                  <w:pPr>
                    <w:jc w:val="both"/>
                  </w:pPr>
                  <w:r>
                    <w:t>61</w:t>
                  </w:r>
                  <w:r w:rsidR="00D96DEE">
                    <w:t xml:space="preserve"> (32)</w:t>
                  </w:r>
                </w:p>
              </w:tc>
              <w:tc>
                <w:tcPr>
                  <w:tcW w:w="1213" w:type="dxa"/>
                </w:tcPr>
                <w:p w:rsidR="00FE02C8" w:rsidRDefault="00FE02C8" w:rsidP="00BD6CD2">
                  <w:pPr>
                    <w:jc w:val="both"/>
                  </w:pPr>
                  <w:r>
                    <w:t>0</w:t>
                  </w:r>
                  <w:r w:rsidR="00D96DEE">
                    <w:t xml:space="preserve"> (0)</w:t>
                  </w:r>
                </w:p>
              </w:tc>
            </w:tr>
            <w:tr w:rsidR="00D96DEE" w:rsidTr="00D96DEE">
              <w:tc>
                <w:tcPr>
                  <w:tcW w:w="1212" w:type="dxa"/>
                  <w:shd w:val="clear" w:color="auto" w:fill="D9D9D9" w:themeFill="background1" w:themeFillShade="D9"/>
                </w:tcPr>
                <w:p w:rsidR="00D96DEE" w:rsidRPr="00D96DEE" w:rsidRDefault="00D96DEE" w:rsidP="00BD6CD2">
                  <w:pPr>
                    <w:jc w:val="both"/>
                    <w:rPr>
                      <w:b/>
                    </w:rPr>
                  </w:pPr>
                  <w:r w:rsidRPr="00D96DEE">
                    <w:rPr>
                      <w:b/>
                    </w:rPr>
                    <w:t>TOTAL</w:t>
                  </w:r>
                </w:p>
              </w:tc>
              <w:tc>
                <w:tcPr>
                  <w:tcW w:w="1212" w:type="dxa"/>
                  <w:shd w:val="clear" w:color="auto" w:fill="D9D9D9" w:themeFill="background1" w:themeFillShade="D9"/>
                </w:tcPr>
                <w:p w:rsidR="00D96DEE" w:rsidRPr="00D96DEE" w:rsidRDefault="00D96DEE" w:rsidP="00BD6CD2">
                  <w:pPr>
                    <w:jc w:val="both"/>
                    <w:rPr>
                      <w:b/>
                    </w:rPr>
                  </w:pPr>
                  <w:r w:rsidRPr="00D96DEE">
                    <w:rPr>
                      <w:b/>
                    </w:rPr>
                    <w:t>219</w:t>
                  </w:r>
                </w:p>
              </w:tc>
              <w:tc>
                <w:tcPr>
                  <w:tcW w:w="1212" w:type="dxa"/>
                  <w:shd w:val="clear" w:color="auto" w:fill="D9D9D9" w:themeFill="background1" w:themeFillShade="D9"/>
                </w:tcPr>
                <w:p w:rsidR="00D96DEE" w:rsidRPr="00D96DEE" w:rsidRDefault="00D96DEE" w:rsidP="00BD6CD2">
                  <w:pPr>
                    <w:jc w:val="both"/>
                    <w:rPr>
                      <w:b/>
                    </w:rPr>
                  </w:pPr>
                  <w:r>
                    <w:rPr>
                      <w:b/>
                    </w:rPr>
                    <w:t>3.7%</w:t>
                  </w:r>
                </w:p>
              </w:tc>
              <w:tc>
                <w:tcPr>
                  <w:tcW w:w="1212" w:type="dxa"/>
                  <w:shd w:val="clear" w:color="auto" w:fill="D9D9D9" w:themeFill="background1" w:themeFillShade="D9"/>
                </w:tcPr>
                <w:p w:rsidR="00D96DEE" w:rsidRPr="00D96DEE" w:rsidRDefault="00D96DEE" w:rsidP="00BD6CD2">
                  <w:pPr>
                    <w:jc w:val="both"/>
                    <w:rPr>
                      <w:b/>
                    </w:rPr>
                  </w:pPr>
                  <w:r>
                    <w:rPr>
                      <w:b/>
                    </w:rPr>
                    <w:t>6.8%</w:t>
                  </w:r>
                </w:p>
              </w:tc>
              <w:tc>
                <w:tcPr>
                  <w:tcW w:w="1213" w:type="dxa"/>
                  <w:shd w:val="clear" w:color="auto" w:fill="D9D9D9" w:themeFill="background1" w:themeFillShade="D9"/>
                </w:tcPr>
                <w:p w:rsidR="00D96DEE" w:rsidRPr="00D96DEE" w:rsidRDefault="00D96DEE" w:rsidP="00BD6CD2">
                  <w:pPr>
                    <w:jc w:val="both"/>
                    <w:rPr>
                      <w:b/>
                    </w:rPr>
                  </w:pPr>
                  <w:r>
                    <w:rPr>
                      <w:b/>
                    </w:rPr>
                    <w:t>45.2%</w:t>
                  </w:r>
                </w:p>
              </w:tc>
              <w:tc>
                <w:tcPr>
                  <w:tcW w:w="1213" w:type="dxa"/>
                  <w:shd w:val="clear" w:color="auto" w:fill="D9D9D9" w:themeFill="background1" w:themeFillShade="D9"/>
                </w:tcPr>
                <w:p w:rsidR="00D96DEE" w:rsidRPr="00D96DEE" w:rsidRDefault="00D96DEE" w:rsidP="00BD6CD2">
                  <w:pPr>
                    <w:jc w:val="both"/>
                    <w:rPr>
                      <w:b/>
                    </w:rPr>
                  </w:pPr>
                  <w:r>
                    <w:rPr>
                      <w:b/>
                    </w:rPr>
                    <w:t>0%</w:t>
                  </w:r>
                </w:p>
              </w:tc>
            </w:tr>
          </w:tbl>
          <w:p w:rsidR="00FE02C8" w:rsidRDefault="00FE02C8" w:rsidP="00BD6CD2">
            <w:pPr>
              <w:jc w:val="both"/>
            </w:pPr>
          </w:p>
          <w:p w:rsidR="00FE02C8" w:rsidRDefault="009B5914" w:rsidP="00BD6CD2">
            <w:pPr>
              <w:jc w:val="both"/>
            </w:pPr>
            <w:r>
              <w:t>The monitoring framework states that a</w:t>
            </w:r>
            <w:r w:rsidR="00D96DEE">
              <w:t>ssessment</w:t>
            </w:r>
            <w:r>
              <w:t xml:space="preserve"> shall be</w:t>
            </w:r>
            <w:r w:rsidR="00D96DEE">
              <w:t xml:space="preserve"> trigger</w:t>
            </w:r>
            <w:r>
              <w:t>ed for this indicator if less than 50% of dwelling completions occur within the Primary Key Settlement and Key Settlements over a 3 year period.  The above table illustrates that only 10.5% of completions occurred within the top two tiers of the settlement hierarchy.</w:t>
            </w:r>
          </w:p>
          <w:p w:rsidR="009B5914" w:rsidRDefault="009B5914" w:rsidP="00BD6CD2">
            <w:pPr>
              <w:jc w:val="both"/>
            </w:pPr>
          </w:p>
          <w:p w:rsidR="003B0F4B" w:rsidRDefault="009B5914" w:rsidP="00BD6CD2">
            <w:pPr>
              <w:jc w:val="both"/>
            </w:pPr>
            <w:r>
              <w:t>Clearly, the requirements of this indicator have not been met.  However, it should be noted that significant allocations within Brecon have not being progressed largely due to the water infrastructure capacity issue which is due to be addressed by Dwr Cymru Welsh Water in March 2018.  Furthermore, allocated sites within</w:t>
            </w:r>
            <w:r w:rsidR="003B0F4B">
              <w:t xml:space="preserve"> Crickhowell and</w:t>
            </w:r>
            <w:r>
              <w:t xml:space="preserve"> Hay-On-Wye</w:t>
            </w:r>
            <w:r w:rsidR="003B0F4B">
              <w:t xml:space="preserve">, yielding 122 dwellings, are currently under construction but no completions were recorded in the most recent Joint Housing Land Availability Study.  </w:t>
            </w:r>
          </w:p>
          <w:p w:rsidR="003B0F4B" w:rsidRDefault="003B0F4B" w:rsidP="00BD6CD2">
            <w:pPr>
              <w:jc w:val="both"/>
            </w:pPr>
          </w:p>
          <w:p w:rsidR="009B5914" w:rsidRDefault="003B0F4B" w:rsidP="00BD6CD2">
            <w:pPr>
              <w:jc w:val="both"/>
            </w:pPr>
            <w:r>
              <w:t>To this end, it is expected that significant progress will be made on completions within the top two tiers of the settlement hierarchy.  These completions will be collated as part of the 2018 Joint Housing Land Availability Study and recorded in next year’s AMR.</w:t>
            </w:r>
          </w:p>
          <w:p w:rsidR="009B5914" w:rsidRDefault="009B5914" w:rsidP="00BD6CD2">
            <w:pPr>
              <w:jc w:val="both"/>
            </w:pPr>
          </w:p>
          <w:p w:rsidR="00B2479A" w:rsidRDefault="00B2479A" w:rsidP="00BD6CD2">
            <w:pPr>
              <w:jc w:val="both"/>
            </w:pPr>
            <w:r>
              <w:t>It should be noted that the completions data does not correlate particularly well with the permissions data.  This is partly due to the infrastructure reasons set out above, but also due to the fact that the Authority has limited control</w:t>
            </w:r>
            <w:r w:rsidR="006D54F8">
              <w:t xml:space="preserve"> in terms of the implementation of schemes once planning permission has been granted (and the location of these schemes within the settlement hierarchy for that matter).  To this end, it is suggested that the completions element of this indicator has limited scope beyond ‘for information’ purposes.</w:t>
            </w:r>
          </w:p>
          <w:p w:rsidR="00B2479A" w:rsidRPr="009E1C8D" w:rsidRDefault="00B2479A" w:rsidP="00BD6CD2">
            <w:pPr>
              <w:jc w:val="both"/>
            </w:pP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tcPr>
          <w:p w:rsidR="007F14C5" w:rsidRDefault="007F14C5" w:rsidP="0065308E">
            <w:pPr>
              <w:jc w:val="both"/>
              <w:rPr>
                <w:b/>
              </w:rPr>
            </w:pPr>
            <w:r>
              <w:rPr>
                <w:b/>
              </w:rPr>
              <w:t>Recommendation:</w:t>
            </w:r>
          </w:p>
          <w:p w:rsidR="007F14C5" w:rsidRDefault="006D54F8" w:rsidP="0065308E">
            <w:pPr>
              <w:jc w:val="both"/>
            </w:pPr>
            <w:r>
              <w:t>Whilst the time period for this indicator has been completed, it is necessary to continue monitoring the indicator throughout the LDP Review.</w:t>
            </w:r>
          </w:p>
          <w:p w:rsidR="006D54F8" w:rsidRDefault="006D54F8" w:rsidP="0065308E">
            <w:pPr>
              <w:jc w:val="both"/>
            </w:pPr>
          </w:p>
          <w:p w:rsidR="002E51F8" w:rsidRDefault="006D54F8" w:rsidP="0065308E">
            <w:pPr>
              <w:jc w:val="both"/>
            </w:pPr>
            <w:r>
              <w:t>Given the improved proportionality over the two most recent monitoring periods as a result of the progression of allocated sites within the Key Settlements over the last two monitoring periods, together with the proposed infrastructure improvements scheduled for Brecon in March 2018</w:t>
            </w:r>
            <w:r w:rsidR="002E51F8">
              <w:t>, it is reasonable to suggest that the figures reported during the first monitoring period were anomalous.  It is acknowledged, however, that these figures contributed to a 3 year return of 8% below the policy target of 50%.</w:t>
            </w:r>
          </w:p>
          <w:p w:rsidR="002E51F8" w:rsidRDefault="002E51F8" w:rsidP="0065308E">
            <w:pPr>
              <w:jc w:val="both"/>
            </w:pPr>
          </w:p>
          <w:p w:rsidR="002E51F8" w:rsidRDefault="002E51F8" w:rsidP="0065308E">
            <w:pPr>
              <w:jc w:val="both"/>
            </w:pPr>
            <w:r>
              <w:t>It is recommended that the monitoring relating to the location of dwellings within the settlement hierarchy is continued and the landowners of allocated sites (without planning permission) within the Primary Key Settlement and Key Settlements are contacted with a view to ascertaining the likely timescales for the progression of their sites.</w:t>
            </w:r>
          </w:p>
          <w:p w:rsidR="002E51F8" w:rsidRDefault="002E51F8" w:rsidP="0065308E">
            <w:pPr>
              <w:jc w:val="both"/>
            </w:pPr>
          </w:p>
          <w:p w:rsidR="006D54F8" w:rsidRPr="003A45C3" w:rsidRDefault="002E51F8" w:rsidP="0065308E">
            <w:pPr>
              <w:jc w:val="both"/>
            </w:pPr>
            <w:r>
              <w:t xml:space="preserve">Of course, as part of the Review process, the Authority will have to consider whether allocated sites that remain without an effective planning permission remain a deliverable prospect.  The potential consequence for such sites is de-allocation.    </w:t>
            </w:r>
          </w:p>
        </w:tc>
      </w:tr>
    </w:tbl>
    <w:p w:rsidR="00FA730F" w:rsidRDefault="00FA730F" w:rsidP="00FA730F">
      <w:pPr>
        <w:jc w:val="both"/>
        <w:rPr>
          <w:b/>
        </w:rPr>
      </w:pPr>
    </w:p>
    <w:p w:rsidR="00FA730F" w:rsidRDefault="00FA730F" w:rsidP="00FA730F">
      <w:pPr>
        <w:jc w:val="both"/>
        <w:rPr>
          <w:b/>
        </w:rPr>
      </w:pPr>
    </w:p>
    <w:p w:rsidR="00FA730F" w:rsidRPr="00FA730F" w:rsidRDefault="00FA730F" w:rsidP="00FA730F">
      <w:pPr>
        <w:jc w:val="both"/>
        <w:rPr>
          <w:b/>
        </w:rPr>
      </w:pPr>
      <w:r>
        <w:rPr>
          <w:b/>
        </w:rPr>
        <w:t>Figure 4</w:t>
      </w:r>
    </w:p>
    <w:tbl>
      <w:tblPr>
        <w:tblStyle w:val="TableGrid"/>
        <w:tblW w:w="0" w:type="auto"/>
        <w:tblLook w:val="04A0" w:firstRow="1" w:lastRow="0" w:firstColumn="1" w:lastColumn="0" w:noHBand="0" w:noVBand="1"/>
      </w:tblPr>
      <w:tblGrid>
        <w:gridCol w:w="1516"/>
        <w:gridCol w:w="7500"/>
      </w:tblGrid>
      <w:tr w:rsidR="0065308E" w:rsidRPr="009819AC" w:rsidTr="007F14C5">
        <w:tc>
          <w:tcPr>
            <w:tcW w:w="9016" w:type="dxa"/>
            <w:gridSpan w:val="2"/>
            <w:shd w:val="clear" w:color="auto" w:fill="4BACC6" w:themeFill="accent5"/>
          </w:tcPr>
          <w:p w:rsidR="0065308E" w:rsidRPr="0065308E" w:rsidRDefault="0065308E" w:rsidP="00A42D22">
            <w:pPr>
              <w:jc w:val="both"/>
              <w:rPr>
                <w:b/>
              </w:rPr>
            </w:pPr>
            <w:r w:rsidRPr="0065308E">
              <w:rPr>
                <w:b/>
              </w:rPr>
              <w:t xml:space="preserve">Number of dwellings granted consent on mixed use sites  </w:t>
            </w:r>
          </w:p>
        </w:tc>
      </w:tr>
      <w:tr w:rsidR="007F14C5" w:rsidRPr="009819AC" w:rsidTr="00B06DE2">
        <w:tc>
          <w:tcPr>
            <w:tcW w:w="1516" w:type="dxa"/>
            <w:vMerge w:val="restart"/>
            <w:shd w:val="clear" w:color="auto" w:fill="00B050"/>
          </w:tcPr>
          <w:p w:rsidR="007F14C5" w:rsidRDefault="007F14C5" w:rsidP="00F260F9">
            <w:pPr>
              <w:jc w:val="center"/>
              <w:rPr>
                <w:b/>
              </w:rPr>
            </w:pPr>
            <w:r>
              <w:rPr>
                <w:b/>
              </w:rPr>
              <w:t>Continue Monitoring</w:t>
            </w:r>
          </w:p>
        </w:tc>
        <w:tc>
          <w:tcPr>
            <w:tcW w:w="7500" w:type="dxa"/>
            <w:shd w:val="clear" w:color="auto" w:fill="00B050"/>
          </w:tcPr>
          <w:p w:rsidR="00B06DE2" w:rsidRPr="00B06DE2" w:rsidRDefault="00B06DE2" w:rsidP="009819AC">
            <w:pPr>
              <w:jc w:val="both"/>
              <w:rPr>
                <w:b/>
              </w:rPr>
            </w:pPr>
            <w:r w:rsidRPr="00B06DE2">
              <w:rPr>
                <w:b/>
              </w:rPr>
              <w:t>Third Monitoring Period</w:t>
            </w:r>
          </w:p>
          <w:p w:rsidR="007F14C5" w:rsidRPr="00A42D22" w:rsidRDefault="00F355B4" w:rsidP="009819AC">
            <w:pPr>
              <w:jc w:val="both"/>
            </w:pPr>
            <w:r w:rsidRPr="002E51F8">
              <w:t>68</w:t>
            </w:r>
            <w:r w:rsidR="002E51F8">
              <w:t xml:space="preserve"> Dwellings granted planning permission on mixed use sites.</w:t>
            </w:r>
          </w:p>
        </w:tc>
      </w:tr>
      <w:tr w:rsidR="007F14C5" w:rsidRPr="009819AC" w:rsidTr="00520F89">
        <w:tc>
          <w:tcPr>
            <w:tcW w:w="1516" w:type="dxa"/>
            <w:vMerge/>
            <w:shd w:val="clear" w:color="auto" w:fill="00B050"/>
          </w:tcPr>
          <w:p w:rsidR="007F14C5" w:rsidRPr="009819AC" w:rsidRDefault="007F14C5" w:rsidP="00F260F9">
            <w:pPr>
              <w:jc w:val="center"/>
              <w:rPr>
                <w:b/>
              </w:rPr>
            </w:pPr>
          </w:p>
        </w:tc>
        <w:tc>
          <w:tcPr>
            <w:tcW w:w="7500" w:type="dxa"/>
            <w:shd w:val="clear" w:color="auto" w:fill="BFBFBF" w:themeFill="background1" w:themeFillShade="BF"/>
          </w:tcPr>
          <w:p w:rsidR="00734A3C" w:rsidRPr="00734A3C" w:rsidRDefault="00734A3C" w:rsidP="009819AC">
            <w:pPr>
              <w:jc w:val="both"/>
              <w:rPr>
                <w:b/>
              </w:rPr>
            </w:pPr>
            <w:r w:rsidRPr="00734A3C">
              <w:rPr>
                <w:b/>
              </w:rPr>
              <w:t>Second Monitoring Period</w:t>
            </w:r>
          </w:p>
          <w:p w:rsidR="007F14C5" w:rsidRPr="00A42D22" w:rsidRDefault="007F14C5" w:rsidP="009819AC">
            <w:pPr>
              <w:jc w:val="both"/>
            </w:pPr>
            <w:r w:rsidRPr="00A42D22">
              <w:t>0 Dwellings granted planning permission on mixed use sites.</w:t>
            </w:r>
          </w:p>
        </w:tc>
      </w:tr>
      <w:tr w:rsidR="007F14C5" w:rsidRPr="009819AC" w:rsidTr="00520F89">
        <w:tc>
          <w:tcPr>
            <w:tcW w:w="1516" w:type="dxa"/>
            <w:vMerge/>
            <w:shd w:val="clear" w:color="auto" w:fill="00B050"/>
          </w:tcPr>
          <w:p w:rsidR="007F14C5" w:rsidRDefault="007F14C5" w:rsidP="00F260F9">
            <w:pPr>
              <w:jc w:val="center"/>
              <w:rPr>
                <w:b/>
              </w:rPr>
            </w:pPr>
          </w:p>
        </w:tc>
        <w:tc>
          <w:tcPr>
            <w:tcW w:w="7500" w:type="dxa"/>
            <w:shd w:val="clear" w:color="auto" w:fill="D9D9D9" w:themeFill="background1" w:themeFillShade="D9"/>
          </w:tcPr>
          <w:p w:rsidR="007F14C5" w:rsidRDefault="00734A3C" w:rsidP="009819AC">
            <w:pPr>
              <w:jc w:val="both"/>
              <w:rPr>
                <w:b/>
              </w:rPr>
            </w:pPr>
            <w:r>
              <w:rPr>
                <w:b/>
              </w:rPr>
              <w:t>First</w:t>
            </w:r>
            <w:r w:rsidR="007F14C5">
              <w:rPr>
                <w:b/>
              </w:rPr>
              <w:t xml:space="preserve"> Monitoring Period:</w:t>
            </w:r>
          </w:p>
          <w:p w:rsidR="007F14C5" w:rsidRPr="003A45C3" w:rsidRDefault="007F14C5" w:rsidP="009819AC">
            <w:pPr>
              <w:jc w:val="both"/>
            </w:pPr>
            <w:r w:rsidRPr="003A45C3">
              <w:t>0 Dwellings granted planning permission on mixed use sites.</w:t>
            </w:r>
          </w:p>
        </w:tc>
      </w:tr>
      <w:tr w:rsidR="007F14C5" w:rsidRPr="009819AC" w:rsidTr="007F14C5">
        <w:tc>
          <w:tcPr>
            <w:tcW w:w="1516" w:type="dxa"/>
            <w:vMerge/>
            <w:shd w:val="clear" w:color="auto" w:fill="00B050"/>
          </w:tcPr>
          <w:p w:rsidR="007F14C5" w:rsidRDefault="007F14C5" w:rsidP="00F260F9">
            <w:pPr>
              <w:jc w:val="center"/>
              <w:rPr>
                <w:b/>
              </w:rPr>
            </w:pPr>
          </w:p>
        </w:tc>
        <w:tc>
          <w:tcPr>
            <w:tcW w:w="7500" w:type="dxa"/>
          </w:tcPr>
          <w:p w:rsidR="007F14C5" w:rsidRDefault="007F14C5" w:rsidP="009819AC">
            <w:pPr>
              <w:jc w:val="both"/>
              <w:rPr>
                <w:b/>
              </w:rPr>
            </w:pPr>
            <w:r>
              <w:rPr>
                <w:b/>
              </w:rPr>
              <w:t>Comments:</w:t>
            </w:r>
          </w:p>
          <w:p w:rsidR="007F14C5" w:rsidRDefault="002E51F8" w:rsidP="003A45C3">
            <w:pPr>
              <w:jc w:val="both"/>
            </w:pPr>
            <w:r>
              <w:t>Outline planning permission has been granted</w:t>
            </w:r>
            <w:r w:rsidR="00B06DE2">
              <w:t xml:space="preserve"> for an indicative number of 68</w:t>
            </w:r>
            <w:r w:rsidR="007F14C5" w:rsidRPr="00425588">
              <w:t xml:space="preserve"> dwellings and employment facilities at the Former Army </w:t>
            </w:r>
            <w:r w:rsidR="00B06DE2">
              <w:t xml:space="preserve">Camp, Cwrt-Y-Gollen (CS66).  </w:t>
            </w:r>
          </w:p>
          <w:p w:rsidR="00B06DE2" w:rsidRDefault="00B06DE2" w:rsidP="003A45C3">
            <w:pPr>
              <w:jc w:val="both"/>
            </w:pPr>
          </w:p>
          <w:p w:rsidR="007F14C5" w:rsidRPr="00903417" w:rsidRDefault="007F14C5" w:rsidP="003A45C3">
            <w:pPr>
              <w:jc w:val="both"/>
            </w:pPr>
            <w:r w:rsidRPr="00903417">
              <w:lastRenderedPageBreak/>
              <w:t>Development Briefs have also been submitted on the following mixed use sites:</w:t>
            </w:r>
          </w:p>
          <w:p w:rsidR="007F14C5" w:rsidRPr="00903417" w:rsidRDefault="007F14C5" w:rsidP="003A45C3">
            <w:pPr>
              <w:numPr>
                <w:ilvl w:val="0"/>
                <w:numId w:val="5"/>
              </w:numPr>
              <w:jc w:val="both"/>
            </w:pPr>
            <w:r w:rsidRPr="00903417">
              <w:t xml:space="preserve">SALT 037 – Proposed extension to T9, Talgarth (15 dwellings) – </w:t>
            </w:r>
            <w:r w:rsidRPr="00903417">
              <w:rPr>
                <w:b/>
              </w:rPr>
              <w:t>Adopted</w:t>
            </w:r>
            <w:r w:rsidR="00B06DE2">
              <w:rPr>
                <w:b/>
              </w:rPr>
              <w:t xml:space="preserve"> and application submitted for 15 dwellings and planning permission granted for school</w:t>
            </w:r>
          </w:p>
          <w:p w:rsidR="007F14C5" w:rsidRPr="00903417" w:rsidRDefault="007F14C5" w:rsidP="003A45C3">
            <w:pPr>
              <w:numPr>
                <w:ilvl w:val="0"/>
                <w:numId w:val="5"/>
              </w:numPr>
              <w:jc w:val="both"/>
            </w:pPr>
            <w:r w:rsidRPr="00903417">
              <w:t xml:space="preserve">CS66 - Former Army Camp, Cwrt-Y-Gollen (70) – </w:t>
            </w:r>
            <w:r w:rsidRPr="00B06DE2">
              <w:rPr>
                <w:b/>
              </w:rPr>
              <w:t xml:space="preserve">Adopted </w:t>
            </w:r>
            <w:r w:rsidR="00B06DE2" w:rsidRPr="00B06DE2">
              <w:rPr>
                <w:b/>
              </w:rPr>
              <w:t>and application approved</w:t>
            </w:r>
          </w:p>
          <w:p w:rsidR="007F14C5" w:rsidRPr="00903417" w:rsidRDefault="007F14C5" w:rsidP="003A45C3">
            <w:pPr>
              <w:numPr>
                <w:ilvl w:val="0"/>
                <w:numId w:val="5"/>
              </w:numPr>
              <w:jc w:val="both"/>
            </w:pPr>
            <w:r w:rsidRPr="00903417">
              <w:t>CS132 – Land Opposite High School, Brecon (137)</w:t>
            </w:r>
            <w:r>
              <w:t xml:space="preserve"> – </w:t>
            </w:r>
            <w:r>
              <w:rPr>
                <w:b/>
              </w:rPr>
              <w:t>Adopted</w:t>
            </w:r>
            <w:r w:rsidR="00B06DE2">
              <w:rPr>
                <w:b/>
              </w:rPr>
              <w:t xml:space="preserve"> but application refused</w:t>
            </w:r>
          </w:p>
          <w:p w:rsidR="007F14C5" w:rsidRDefault="007F14C5" w:rsidP="00B06DE2">
            <w:pPr>
              <w:jc w:val="both"/>
            </w:pPr>
          </w:p>
          <w:p w:rsidR="00B06DE2" w:rsidRPr="00903417" w:rsidRDefault="00B06DE2" w:rsidP="00B06DE2">
            <w:pPr>
              <w:jc w:val="both"/>
            </w:pPr>
            <w:r>
              <w:t xml:space="preserve">The submission of a development brief relating to the single remaining allocated mixed use site at the Former Mid Wales Hospital is expected to be submitted during the Autumn of 2017.  </w:t>
            </w:r>
          </w:p>
        </w:tc>
      </w:tr>
      <w:tr w:rsidR="007F14C5" w:rsidRPr="009819AC" w:rsidTr="007F14C5">
        <w:tc>
          <w:tcPr>
            <w:tcW w:w="1516" w:type="dxa"/>
            <w:vMerge/>
            <w:shd w:val="clear" w:color="auto" w:fill="00B050"/>
          </w:tcPr>
          <w:p w:rsidR="007F14C5" w:rsidRDefault="007F14C5" w:rsidP="00F260F9">
            <w:pPr>
              <w:jc w:val="center"/>
              <w:rPr>
                <w:b/>
              </w:rPr>
            </w:pPr>
          </w:p>
        </w:tc>
        <w:tc>
          <w:tcPr>
            <w:tcW w:w="7500" w:type="dxa"/>
          </w:tcPr>
          <w:p w:rsidR="007F14C5" w:rsidRDefault="007F14C5" w:rsidP="00903417">
            <w:pPr>
              <w:jc w:val="both"/>
              <w:rPr>
                <w:b/>
              </w:rPr>
            </w:pPr>
            <w:r>
              <w:rPr>
                <w:b/>
              </w:rPr>
              <w:t>Recommendation:</w:t>
            </w:r>
          </w:p>
          <w:p w:rsidR="007F14C5" w:rsidRPr="003A45C3" w:rsidRDefault="007F14C5" w:rsidP="00B06DE2">
            <w:pPr>
              <w:jc w:val="both"/>
            </w:pPr>
            <w:r w:rsidRPr="003A45C3">
              <w:t xml:space="preserve">There is no assessment trigger for this indicator.  Accordingly, this will be monitored over the remainder of the plan period.  </w:t>
            </w:r>
          </w:p>
        </w:tc>
      </w:tr>
    </w:tbl>
    <w:p w:rsidR="0016310D" w:rsidRDefault="0016310D" w:rsidP="007467EF">
      <w:pPr>
        <w:jc w:val="both"/>
        <w:rPr>
          <w:b/>
        </w:rPr>
      </w:pPr>
    </w:p>
    <w:p w:rsidR="00FA730F" w:rsidRPr="007467EF" w:rsidRDefault="00FA730F" w:rsidP="007467EF">
      <w:pPr>
        <w:jc w:val="both"/>
        <w:rPr>
          <w:b/>
        </w:rPr>
      </w:pPr>
      <w:r>
        <w:rPr>
          <w:b/>
        </w:rPr>
        <w:t>Figure 5</w:t>
      </w:r>
    </w:p>
    <w:tbl>
      <w:tblPr>
        <w:tblStyle w:val="TableGrid"/>
        <w:tblW w:w="0" w:type="auto"/>
        <w:tblLook w:val="04A0" w:firstRow="1" w:lastRow="0" w:firstColumn="1" w:lastColumn="0" w:noHBand="0" w:noVBand="1"/>
      </w:tblPr>
      <w:tblGrid>
        <w:gridCol w:w="1698"/>
        <w:gridCol w:w="7318"/>
      </w:tblGrid>
      <w:tr w:rsidR="00A45248" w:rsidRPr="009819AC" w:rsidTr="00734A3C">
        <w:tc>
          <w:tcPr>
            <w:tcW w:w="9016" w:type="dxa"/>
            <w:gridSpan w:val="2"/>
            <w:shd w:val="clear" w:color="auto" w:fill="4BACC6" w:themeFill="accent5"/>
          </w:tcPr>
          <w:p w:rsidR="00A45248" w:rsidRPr="00A45248" w:rsidRDefault="00A45248" w:rsidP="009819AC">
            <w:pPr>
              <w:jc w:val="both"/>
              <w:rPr>
                <w:b/>
              </w:rPr>
            </w:pPr>
            <w:r w:rsidRPr="00A45248">
              <w:rPr>
                <w:b/>
              </w:rPr>
              <w:t>All applications granted planning consent to achieve a density of 30 d</w:t>
            </w:r>
            <w:r w:rsidR="00C11147">
              <w:rPr>
                <w:b/>
              </w:rPr>
              <w:t xml:space="preserve">wellings </w:t>
            </w:r>
            <w:r w:rsidRPr="00A45248">
              <w:rPr>
                <w:b/>
              </w:rPr>
              <w:t>p</w:t>
            </w:r>
            <w:r w:rsidR="00C11147">
              <w:rPr>
                <w:b/>
              </w:rPr>
              <w:t xml:space="preserve">er </w:t>
            </w:r>
            <w:r w:rsidRPr="00A45248">
              <w:rPr>
                <w:b/>
              </w:rPr>
              <w:t>h</w:t>
            </w:r>
            <w:r w:rsidR="00C11147">
              <w:rPr>
                <w:b/>
              </w:rPr>
              <w:t>ectare</w:t>
            </w:r>
            <w:r w:rsidR="00A42D22">
              <w:rPr>
                <w:b/>
              </w:rPr>
              <w:t xml:space="preserve"> </w:t>
            </w:r>
          </w:p>
        </w:tc>
      </w:tr>
      <w:tr w:rsidR="00734A3C" w:rsidRPr="009819AC" w:rsidTr="00B06DE2">
        <w:tc>
          <w:tcPr>
            <w:tcW w:w="1698" w:type="dxa"/>
            <w:vMerge w:val="restart"/>
            <w:shd w:val="clear" w:color="auto" w:fill="FFFF00"/>
          </w:tcPr>
          <w:p w:rsidR="00734A3C" w:rsidRDefault="00734A3C" w:rsidP="003E223F">
            <w:pPr>
              <w:jc w:val="center"/>
              <w:rPr>
                <w:b/>
              </w:rPr>
            </w:pPr>
            <w:r>
              <w:rPr>
                <w:b/>
              </w:rPr>
              <w:t>Policy Research</w:t>
            </w:r>
          </w:p>
        </w:tc>
        <w:tc>
          <w:tcPr>
            <w:tcW w:w="7318" w:type="dxa"/>
            <w:shd w:val="clear" w:color="auto" w:fill="FFFF00"/>
          </w:tcPr>
          <w:p w:rsidR="005364E4" w:rsidRPr="00B06DE2" w:rsidRDefault="005364E4" w:rsidP="005364E4">
            <w:pPr>
              <w:jc w:val="both"/>
              <w:rPr>
                <w:b/>
              </w:rPr>
            </w:pPr>
            <w:r w:rsidRPr="00B06DE2">
              <w:rPr>
                <w:b/>
              </w:rPr>
              <w:t>Third Monitoring Period</w:t>
            </w:r>
          </w:p>
          <w:p w:rsidR="005364E4" w:rsidRPr="00B06DE2" w:rsidRDefault="00C76667" w:rsidP="005364E4">
            <w:pPr>
              <w:jc w:val="both"/>
            </w:pPr>
            <w:r w:rsidRPr="00B06DE2">
              <w:t>11</w:t>
            </w:r>
            <w:r w:rsidR="005364E4" w:rsidRPr="00B06DE2">
              <w:t xml:space="preserve"> residential permissions were granted below 20 dwellings per hectare</w:t>
            </w:r>
          </w:p>
          <w:p w:rsidR="005364E4" w:rsidRPr="00B06DE2" w:rsidRDefault="00C76667" w:rsidP="005364E4">
            <w:pPr>
              <w:jc w:val="both"/>
            </w:pPr>
            <w:r w:rsidRPr="00B06DE2">
              <w:t>11</w:t>
            </w:r>
            <w:r w:rsidR="00AF5518" w:rsidRPr="00B06DE2">
              <w:t xml:space="preserve"> </w:t>
            </w:r>
            <w:r w:rsidR="005364E4" w:rsidRPr="00B06DE2">
              <w:t>residential permissions were granted at 20-30 dwellings per hectare</w:t>
            </w:r>
          </w:p>
          <w:p w:rsidR="00734A3C" w:rsidRDefault="00C76667" w:rsidP="005364E4">
            <w:pPr>
              <w:jc w:val="both"/>
            </w:pPr>
            <w:r w:rsidRPr="00B06DE2">
              <w:t xml:space="preserve">5 </w:t>
            </w:r>
            <w:r w:rsidR="005364E4" w:rsidRPr="00B06DE2">
              <w:t xml:space="preserve">residential permissions of residential applications were granted at 30 </w:t>
            </w:r>
            <w:r w:rsidR="00AF5518" w:rsidRPr="00B06DE2">
              <w:t xml:space="preserve">   </w:t>
            </w:r>
            <w:r w:rsidR="005364E4" w:rsidRPr="00B06DE2">
              <w:t>dwellings per hectare</w:t>
            </w:r>
          </w:p>
        </w:tc>
      </w:tr>
      <w:tr w:rsidR="00734A3C" w:rsidRPr="009819AC" w:rsidTr="00520F89">
        <w:tc>
          <w:tcPr>
            <w:tcW w:w="1698" w:type="dxa"/>
            <w:vMerge/>
            <w:shd w:val="clear" w:color="auto" w:fill="FFFF00"/>
          </w:tcPr>
          <w:p w:rsidR="00734A3C" w:rsidRPr="009819AC" w:rsidRDefault="00734A3C" w:rsidP="003E223F">
            <w:pPr>
              <w:jc w:val="center"/>
              <w:rPr>
                <w:b/>
              </w:rPr>
            </w:pPr>
          </w:p>
        </w:tc>
        <w:tc>
          <w:tcPr>
            <w:tcW w:w="7318" w:type="dxa"/>
            <w:shd w:val="clear" w:color="auto" w:fill="BFBFBF" w:themeFill="background1" w:themeFillShade="BF"/>
          </w:tcPr>
          <w:p w:rsidR="00734A3C" w:rsidRPr="00734A3C" w:rsidRDefault="00734A3C" w:rsidP="009819AC">
            <w:pPr>
              <w:jc w:val="both"/>
              <w:rPr>
                <w:b/>
              </w:rPr>
            </w:pPr>
            <w:r w:rsidRPr="00734A3C">
              <w:rPr>
                <w:b/>
              </w:rPr>
              <w:t>Second Monitoring Period</w:t>
            </w:r>
          </w:p>
          <w:p w:rsidR="00734A3C" w:rsidRPr="0016310D" w:rsidRDefault="00734A3C" w:rsidP="009819AC">
            <w:pPr>
              <w:jc w:val="both"/>
            </w:pPr>
            <w:r>
              <w:t xml:space="preserve">10 </w:t>
            </w:r>
            <w:r w:rsidRPr="0016310D">
              <w:t xml:space="preserve"> residential permissions were granted below 20</w:t>
            </w:r>
            <w:r>
              <w:t xml:space="preserve"> </w:t>
            </w:r>
            <w:r w:rsidRPr="0016310D">
              <w:t>d</w:t>
            </w:r>
            <w:r>
              <w:t xml:space="preserve">wellings </w:t>
            </w:r>
            <w:r w:rsidRPr="0016310D">
              <w:t>p</w:t>
            </w:r>
            <w:r>
              <w:t xml:space="preserve">er </w:t>
            </w:r>
            <w:r w:rsidRPr="0016310D">
              <w:t>h</w:t>
            </w:r>
            <w:r>
              <w:t>ectare</w:t>
            </w:r>
          </w:p>
          <w:p w:rsidR="00734A3C" w:rsidRPr="0016310D" w:rsidRDefault="00734A3C" w:rsidP="009819AC">
            <w:pPr>
              <w:jc w:val="both"/>
            </w:pPr>
            <w:r>
              <w:t>4</w:t>
            </w:r>
            <w:r w:rsidRPr="0016310D">
              <w:t xml:space="preserve"> residential permissions were granted at 20-30</w:t>
            </w:r>
            <w:r>
              <w:t xml:space="preserve"> </w:t>
            </w:r>
            <w:r w:rsidRPr="0016310D">
              <w:t>d</w:t>
            </w:r>
            <w:r>
              <w:t xml:space="preserve">wellings </w:t>
            </w:r>
            <w:r w:rsidRPr="0016310D">
              <w:t>p</w:t>
            </w:r>
            <w:r>
              <w:t xml:space="preserve">er </w:t>
            </w:r>
            <w:r w:rsidRPr="0016310D">
              <w:t>h</w:t>
            </w:r>
            <w:r>
              <w:t>ectare</w:t>
            </w:r>
          </w:p>
          <w:p w:rsidR="00734A3C" w:rsidRPr="00A42D22" w:rsidRDefault="00734A3C" w:rsidP="009819AC">
            <w:pPr>
              <w:jc w:val="both"/>
            </w:pPr>
            <w:r>
              <w:t>3</w:t>
            </w:r>
            <w:r w:rsidRPr="0016310D">
              <w:t xml:space="preserve"> residential permissions of residential app</w:t>
            </w:r>
            <w:r>
              <w:t>lications were granted at 30 dwellings per hectare</w:t>
            </w:r>
          </w:p>
        </w:tc>
      </w:tr>
      <w:tr w:rsidR="00734A3C" w:rsidRPr="009819AC" w:rsidTr="00520F89">
        <w:tc>
          <w:tcPr>
            <w:tcW w:w="1698" w:type="dxa"/>
            <w:vMerge/>
            <w:shd w:val="clear" w:color="auto" w:fill="FFFF00"/>
          </w:tcPr>
          <w:p w:rsidR="00734A3C" w:rsidRDefault="00734A3C" w:rsidP="00F260F9">
            <w:pPr>
              <w:jc w:val="center"/>
              <w:rPr>
                <w:b/>
              </w:rPr>
            </w:pPr>
          </w:p>
        </w:tc>
        <w:tc>
          <w:tcPr>
            <w:tcW w:w="7318" w:type="dxa"/>
            <w:shd w:val="clear" w:color="auto" w:fill="D9D9D9" w:themeFill="background1" w:themeFillShade="D9"/>
          </w:tcPr>
          <w:p w:rsidR="00734A3C" w:rsidRDefault="00734A3C" w:rsidP="003A45C3">
            <w:pPr>
              <w:tabs>
                <w:tab w:val="left" w:pos="5100"/>
              </w:tabs>
              <w:jc w:val="both"/>
              <w:rPr>
                <w:b/>
              </w:rPr>
            </w:pPr>
            <w:r>
              <w:rPr>
                <w:b/>
              </w:rPr>
              <w:t>First Monitoring Period:</w:t>
            </w:r>
          </w:p>
          <w:p w:rsidR="00734A3C" w:rsidRPr="003A45C3" w:rsidRDefault="00734A3C" w:rsidP="003A45C3">
            <w:pPr>
              <w:tabs>
                <w:tab w:val="left" w:pos="5100"/>
              </w:tabs>
              <w:jc w:val="both"/>
            </w:pPr>
            <w:r w:rsidRPr="003A45C3">
              <w:t>16 of residential permissions were granted below 20 dwellings per hectare</w:t>
            </w:r>
          </w:p>
          <w:p w:rsidR="00734A3C" w:rsidRPr="003A45C3" w:rsidRDefault="00734A3C" w:rsidP="003A45C3">
            <w:pPr>
              <w:tabs>
                <w:tab w:val="left" w:pos="5100"/>
              </w:tabs>
              <w:jc w:val="both"/>
            </w:pPr>
            <w:r w:rsidRPr="003A45C3">
              <w:t>5 residential permissions were granted at 20-30 dwellings per hectare</w:t>
            </w:r>
          </w:p>
          <w:p w:rsidR="00734A3C" w:rsidRDefault="00734A3C" w:rsidP="003A45C3">
            <w:pPr>
              <w:tabs>
                <w:tab w:val="left" w:pos="5100"/>
              </w:tabs>
              <w:jc w:val="both"/>
              <w:rPr>
                <w:b/>
              </w:rPr>
            </w:pPr>
            <w:r w:rsidRPr="003A45C3">
              <w:t>5 residential permissions of residential applications were granted at 30 dwellings per hectare</w:t>
            </w:r>
          </w:p>
        </w:tc>
      </w:tr>
      <w:tr w:rsidR="00734A3C" w:rsidRPr="009819AC" w:rsidTr="00734A3C">
        <w:tc>
          <w:tcPr>
            <w:tcW w:w="1698" w:type="dxa"/>
            <w:vMerge/>
            <w:shd w:val="clear" w:color="auto" w:fill="FFFF00"/>
          </w:tcPr>
          <w:p w:rsidR="00734A3C" w:rsidRDefault="00734A3C" w:rsidP="00F260F9">
            <w:pPr>
              <w:jc w:val="center"/>
              <w:rPr>
                <w:b/>
              </w:rPr>
            </w:pPr>
          </w:p>
        </w:tc>
        <w:tc>
          <w:tcPr>
            <w:tcW w:w="7318" w:type="dxa"/>
          </w:tcPr>
          <w:p w:rsidR="00734A3C" w:rsidRDefault="00734A3C" w:rsidP="00A45248">
            <w:pPr>
              <w:jc w:val="both"/>
              <w:rPr>
                <w:b/>
              </w:rPr>
            </w:pPr>
            <w:r>
              <w:rPr>
                <w:b/>
              </w:rPr>
              <w:t>Comment:</w:t>
            </w:r>
          </w:p>
          <w:p w:rsidR="00734A3C" w:rsidRDefault="00734A3C" w:rsidP="003A45C3">
            <w:pPr>
              <w:jc w:val="both"/>
            </w:pPr>
            <w:r>
              <w:t>Policy 61 of the Local Development Plan relates to dwelling density and states that:</w:t>
            </w:r>
          </w:p>
          <w:p w:rsidR="00734A3C" w:rsidRDefault="00734A3C" w:rsidP="003A45C3">
            <w:pPr>
              <w:jc w:val="both"/>
            </w:pPr>
          </w:p>
          <w:p w:rsidR="00734A3C" w:rsidRPr="003A45C3" w:rsidRDefault="00734A3C" w:rsidP="003A45C3">
            <w:pPr>
              <w:jc w:val="both"/>
              <w:rPr>
                <w:i/>
              </w:rPr>
            </w:pPr>
            <w:r>
              <w:lastRenderedPageBreak/>
              <w:t xml:space="preserve"> “</w:t>
            </w:r>
            <w:r w:rsidRPr="003A45C3">
              <w:rPr>
                <w:i/>
              </w:rPr>
              <w:t>All residential development will be required to be developed at a minimum density of 30 dwellings to the hectare, where this is compatible with the existing character of the area.</w:t>
            </w:r>
          </w:p>
          <w:p w:rsidR="00734A3C" w:rsidRPr="003A45C3" w:rsidRDefault="00734A3C" w:rsidP="003A45C3">
            <w:pPr>
              <w:jc w:val="both"/>
              <w:rPr>
                <w:i/>
              </w:rPr>
            </w:pPr>
          </w:p>
          <w:p w:rsidR="00734A3C" w:rsidRDefault="00734A3C" w:rsidP="003A45C3">
            <w:pPr>
              <w:jc w:val="both"/>
            </w:pPr>
            <w:r w:rsidRPr="003A45C3">
              <w:rPr>
                <w:i/>
              </w:rPr>
              <w:t>Only where it is proven that this density cannot be achieved due to the incorporation of measures to improve the sustainability of the scheme which cannot be located on land outside of the allocation, will levels less than the minimum target be permissible.”</w:t>
            </w:r>
            <w:r>
              <w:t xml:space="preserve"> </w:t>
            </w:r>
          </w:p>
          <w:p w:rsidR="00734A3C" w:rsidRDefault="00734A3C" w:rsidP="003A45C3">
            <w:pPr>
              <w:jc w:val="both"/>
            </w:pPr>
          </w:p>
          <w:p w:rsidR="00734A3C" w:rsidRDefault="00734A3C" w:rsidP="003A45C3">
            <w:pPr>
              <w:jc w:val="both"/>
            </w:pPr>
            <w:r>
              <w:t>Clearly, there is some flexibility in this policy that would allow development to be approved at a level of density below 30 dwellings per hectare, such as the cha</w:t>
            </w:r>
            <w:r w:rsidR="00425588">
              <w:t>racter of the surrounding area.</w:t>
            </w:r>
            <w:r>
              <w:t xml:space="preserve"> Furthermore, there have been instances where a lower level of density has been agreed due to abnormal conditions on site – topography and access constraints for example.</w:t>
            </w:r>
          </w:p>
          <w:p w:rsidR="00734A3C" w:rsidRDefault="00734A3C" w:rsidP="003A45C3">
            <w:pPr>
              <w:jc w:val="both"/>
            </w:pPr>
          </w:p>
          <w:p w:rsidR="00734A3C" w:rsidRDefault="00734A3C" w:rsidP="003A45C3">
            <w:pPr>
              <w:jc w:val="both"/>
            </w:pPr>
            <w:r>
              <w:t>It was recommende</w:t>
            </w:r>
            <w:r w:rsidR="00B06DE2">
              <w:t>d in the Report for the first</w:t>
            </w:r>
            <w:r>
              <w:t xml:space="preserve"> monitoring period that:</w:t>
            </w:r>
          </w:p>
          <w:p w:rsidR="00734A3C" w:rsidRDefault="00734A3C" w:rsidP="003A45C3">
            <w:pPr>
              <w:jc w:val="both"/>
            </w:pPr>
          </w:p>
          <w:p w:rsidR="00734A3C" w:rsidRPr="003A45C3" w:rsidRDefault="00734A3C" w:rsidP="003A45C3">
            <w:pPr>
              <w:jc w:val="both"/>
              <w:rPr>
                <w:i/>
              </w:rPr>
            </w:pPr>
            <w:r>
              <w:rPr>
                <w:i/>
              </w:rPr>
              <w:t>“</w:t>
            </w:r>
            <w:r w:rsidRPr="003A45C3">
              <w:rPr>
                <w:i/>
              </w:rPr>
              <w:t>The indicator suggests that this policy is not wholly being implemented as required.  However, it must be noted that there is flexibility within the policy that allows development to take place at a density below 30 dwellings per hectare.  Accordingly, further research is required in relation to the following:</w:t>
            </w:r>
          </w:p>
          <w:p w:rsidR="00734A3C" w:rsidRPr="003A45C3" w:rsidRDefault="00734A3C" w:rsidP="003A45C3">
            <w:pPr>
              <w:numPr>
                <w:ilvl w:val="0"/>
                <w:numId w:val="7"/>
              </w:numPr>
              <w:jc w:val="both"/>
              <w:rPr>
                <w:i/>
              </w:rPr>
            </w:pPr>
            <w:r w:rsidRPr="003A45C3">
              <w:rPr>
                <w:i/>
              </w:rPr>
              <w:t>Investigation into the number of allocated sites that have been granted planning permission at a density of below 30 dwellings per hectare</w:t>
            </w:r>
          </w:p>
          <w:p w:rsidR="00734A3C" w:rsidRPr="003A45C3" w:rsidRDefault="00734A3C" w:rsidP="003A45C3">
            <w:pPr>
              <w:numPr>
                <w:ilvl w:val="0"/>
                <w:numId w:val="7"/>
              </w:numPr>
              <w:jc w:val="both"/>
              <w:rPr>
                <w:i/>
              </w:rPr>
            </w:pPr>
            <w:r w:rsidRPr="003A45C3">
              <w:rPr>
                <w:i/>
              </w:rPr>
              <w:t>Determine the specific reasons for allowing a lower level of dwelling density</w:t>
            </w:r>
          </w:p>
          <w:p w:rsidR="00734A3C" w:rsidRPr="003A45C3" w:rsidRDefault="00734A3C" w:rsidP="003A45C3">
            <w:pPr>
              <w:jc w:val="both"/>
              <w:rPr>
                <w:i/>
              </w:rPr>
            </w:pPr>
          </w:p>
          <w:p w:rsidR="00734A3C" w:rsidRPr="003A45C3" w:rsidRDefault="00734A3C" w:rsidP="003A45C3">
            <w:pPr>
              <w:jc w:val="both"/>
              <w:rPr>
                <w:i/>
              </w:rPr>
            </w:pPr>
            <w:r w:rsidRPr="003A45C3">
              <w:rPr>
                <w:i/>
              </w:rPr>
              <w:t>Depending on the results of this policy research, it may be required that Development Management Officers and Authority Members are provided with additional training in relation to the requirements of Policy 61.  A further consideration will be the development of an additional piece of Supplementary Planning Guidance to address the issue of dwelling density and mix on housing and mixed-use allocations.</w:t>
            </w:r>
            <w:r>
              <w:rPr>
                <w:i/>
              </w:rPr>
              <w:t>”</w:t>
            </w:r>
          </w:p>
          <w:p w:rsidR="00734A3C" w:rsidRDefault="00734A3C" w:rsidP="003A45C3">
            <w:pPr>
              <w:jc w:val="both"/>
            </w:pPr>
          </w:p>
          <w:p w:rsidR="00734A3C" w:rsidRDefault="00734A3C" w:rsidP="003A45C3">
            <w:pPr>
              <w:jc w:val="both"/>
            </w:pPr>
            <w:r>
              <w:t xml:space="preserve">Further to this recommendation, an examination of the relevant application proposals was carried out and it was determined that all fell within the tolerance of Policy 61.  That is, it is reasonable to suggest that planning permission was only granted for development proposals below a density of 30dph in instances where it could </w:t>
            </w:r>
            <w:r w:rsidRPr="00810808">
              <w:t xml:space="preserve">not be achieved </w:t>
            </w:r>
            <w:r>
              <w:t>or that a 30+dph density would not be compatible with the surroundings of the particular site.</w:t>
            </w:r>
          </w:p>
          <w:p w:rsidR="00734A3C" w:rsidRDefault="00734A3C" w:rsidP="003A45C3">
            <w:pPr>
              <w:jc w:val="both"/>
            </w:pPr>
            <w:r>
              <w:lastRenderedPageBreak/>
              <w:t xml:space="preserve"> </w:t>
            </w:r>
          </w:p>
          <w:p w:rsidR="00734A3C" w:rsidRDefault="00734A3C" w:rsidP="003A45C3">
            <w:pPr>
              <w:jc w:val="both"/>
            </w:pPr>
            <w:r>
              <w:t xml:space="preserve">Notwithstanding this, Development Management Officers were provided with training from the Strategy and Policy Team to ensure that the policy was being interpreted appropriately.  </w:t>
            </w:r>
          </w:p>
          <w:p w:rsidR="00734A3C" w:rsidRPr="0016310D" w:rsidRDefault="00734A3C" w:rsidP="003A45C3">
            <w:pPr>
              <w:jc w:val="both"/>
            </w:pPr>
          </w:p>
        </w:tc>
      </w:tr>
      <w:tr w:rsidR="00734A3C" w:rsidRPr="009819AC" w:rsidTr="00734A3C">
        <w:tc>
          <w:tcPr>
            <w:tcW w:w="1698" w:type="dxa"/>
            <w:vMerge/>
            <w:shd w:val="clear" w:color="auto" w:fill="FFFF00"/>
          </w:tcPr>
          <w:p w:rsidR="00734A3C" w:rsidRDefault="00734A3C" w:rsidP="00F260F9">
            <w:pPr>
              <w:jc w:val="center"/>
              <w:rPr>
                <w:b/>
              </w:rPr>
            </w:pPr>
          </w:p>
        </w:tc>
        <w:tc>
          <w:tcPr>
            <w:tcW w:w="7318" w:type="dxa"/>
          </w:tcPr>
          <w:p w:rsidR="00734A3C" w:rsidRPr="001F6616" w:rsidRDefault="00734A3C" w:rsidP="00A45248">
            <w:pPr>
              <w:jc w:val="both"/>
              <w:rPr>
                <w:b/>
              </w:rPr>
            </w:pPr>
            <w:r w:rsidRPr="001F6616">
              <w:rPr>
                <w:b/>
              </w:rPr>
              <w:t>Recommendation:</w:t>
            </w:r>
          </w:p>
          <w:p w:rsidR="00734A3C" w:rsidRPr="00810808" w:rsidRDefault="00734A3C" w:rsidP="00810808">
            <w:pPr>
              <w:jc w:val="both"/>
            </w:pPr>
            <w:r w:rsidRPr="00810808">
              <w:t>The indicator suggests that this policy is not wholly being implemented as required.  However, it must be noted that there is flexibility within the policy that allows development to take place at a density below 30 dwellings per hectare.  Accordingly, further research is requir</w:t>
            </w:r>
            <w:r>
              <w:t>ed to d</w:t>
            </w:r>
            <w:r w:rsidRPr="00810808">
              <w:t>etermine the specific reasons for allowing a lower level of dwelling density</w:t>
            </w:r>
            <w:r>
              <w:t>.</w:t>
            </w:r>
          </w:p>
          <w:p w:rsidR="00734A3C" w:rsidRDefault="00734A3C" w:rsidP="00810808">
            <w:pPr>
              <w:jc w:val="both"/>
              <w:rPr>
                <w:b/>
              </w:rPr>
            </w:pPr>
          </w:p>
        </w:tc>
      </w:tr>
    </w:tbl>
    <w:p w:rsidR="00046C8E" w:rsidRDefault="00046C8E" w:rsidP="00A42D22">
      <w:pPr>
        <w:jc w:val="both"/>
        <w:rPr>
          <w:b/>
          <w:i/>
        </w:rPr>
      </w:pPr>
    </w:p>
    <w:p w:rsidR="00C76667" w:rsidRDefault="00C76667" w:rsidP="00A42D22">
      <w:pPr>
        <w:jc w:val="both"/>
        <w:rPr>
          <w:b/>
        </w:rPr>
      </w:pPr>
    </w:p>
    <w:p w:rsidR="00C76667" w:rsidRDefault="00C76667" w:rsidP="00A42D22">
      <w:pPr>
        <w:jc w:val="both"/>
        <w:rPr>
          <w:b/>
        </w:rPr>
      </w:pPr>
    </w:p>
    <w:p w:rsidR="00FA730F" w:rsidRPr="00FA730F" w:rsidRDefault="00FA730F" w:rsidP="00A42D22">
      <w:pPr>
        <w:jc w:val="both"/>
        <w:rPr>
          <w:b/>
        </w:rPr>
      </w:pPr>
      <w:r>
        <w:rPr>
          <w:b/>
        </w:rPr>
        <w:t>Figure 6</w:t>
      </w:r>
    </w:p>
    <w:tbl>
      <w:tblPr>
        <w:tblStyle w:val="TableGrid"/>
        <w:tblW w:w="0" w:type="auto"/>
        <w:tblLook w:val="04A0" w:firstRow="1" w:lastRow="0" w:firstColumn="1" w:lastColumn="0" w:noHBand="0" w:noVBand="1"/>
      </w:tblPr>
      <w:tblGrid>
        <w:gridCol w:w="1509"/>
        <w:gridCol w:w="7507"/>
      </w:tblGrid>
      <w:tr w:rsidR="00A45248" w:rsidRPr="009819AC" w:rsidTr="00734A3C">
        <w:tc>
          <w:tcPr>
            <w:tcW w:w="9016" w:type="dxa"/>
            <w:gridSpan w:val="2"/>
            <w:shd w:val="clear" w:color="auto" w:fill="4BACC6" w:themeFill="accent5"/>
          </w:tcPr>
          <w:p w:rsidR="00A45248" w:rsidRPr="00A45248" w:rsidRDefault="00A45248" w:rsidP="009819AC">
            <w:pPr>
              <w:jc w:val="both"/>
              <w:rPr>
                <w:color w:val="0F243E" w:themeColor="text2" w:themeShade="80"/>
              </w:rPr>
            </w:pPr>
            <w:r w:rsidRPr="00A45248">
              <w:rPr>
                <w:b/>
              </w:rPr>
              <w:t>Affordable Housing percentage target</w:t>
            </w:r>
            <w:r w:rsidR="00A42D22">
              <w:rPr>
                <w:b/>
              </w:rPr>
              <w:t xml:space="preserve"> </w:t>
            </w:r>
          </w:p>
        </w:tc>
      </w:tr>
      <w:tr w:rsidR="00734A3C" w:rsidRPr="009819AC" w:rsidTr="00751CDB">
        <w:tc>
          <w:tcPr>
            <w:tcW w:w="1509" w:type="dxa"/>
            <w:vMerge w:val="restart"/>
            <w:shd w:val="clear" w:color="auto" w:fill="00B050"/>
          </w:tcPr>
          <w:p w:rsidR="00734A3C" w:rsidRPr="000A2EB8" w:rsidRDefault="00751CDB" w:rsidP="003E223F">
            <w:pPr>
              <w:jc w:val="center"/>
              <w:rPr>
                <w:b/>
              </w:rPr>
            </w:pPr>
            <w:r>
              <w:rPr>
                <w:b/>
              </w:rPr>
              <w:t>Continue Monitoring</w:t>
            </w:r>
          </w:p>
        </w:tc>
        <w:tc>
          <w:tcPr>
            <w:tcW w:w="7507" w:type="dxa"/>
            <w:shd w:val="clear" w:color="auto" w:fill="00B050"/>
          </w:tcPr>
          <w:p w:rsidR="00734A3C" w:rsidRPr="0047683C" w:rsidRDefault="00C76667" w:rsidP="001B4017">
            <w:pPr>
              <w:jc w:val="both"/>
              <w:rPr>
                <w:b/>
              </w:rPr>
            </w:pPr>
            <w:r w:rsidRPr="0047683C">
              <w:rPr>
                <w:b/>
              </w:rPr>
              <w:t>Third Monitoring Period</w:t>
            </w:r>
          </w:p>
          <w:p w:rsidR="00C76667" w:rsidRPr="007426A0" w:rsidRDefault="00425588" w:rsidP="00425588">
            <w:pPr>
              <w:jc w:val="both"/>
            </w:pPr>
            <w:r w:rsidRPr="0047683C">
              <w:t xml:space="preserve">The Land registry House Price Index for Merthyr Tydfil demonstrates that there has been a </w:t>
            </w:r>
            <w:r w:rsidR="0047683C" w:rsidRPr="0047683C">
              <w:t>+1.4</w:t>
            </w:r>
            <w:r w:rsidRPr="0047683C">
              <w:t>% change in house prices for the period of this AMR.</w:t>
            </w:r>
            <w:r w:rsidRPr="001B4017">
              <w:t xml:space="preserve"> </w:t>
            </w:r>
          </w:p>
        </w:tc>
      </w:tr>
      <w:tr w:rsidR="00734A3C" w:rsidRPr="009819AC" w:rsidTr="00751CDB">
        <w:tc>
          <w:tcPr>
            <w:tcW w:w="1509" w:type="dxa"/>
            <w:vMerge/>
            <w:shd w:val="clear" w:color="auto" w:fill="00B050"/>
          </w:tcPr>
          <w:p w:rsidR="00734A3C" w:rsidRPr="000A2EB8" w:rsidRDefault="00734A3C" w:rsidP="003E223F">
            <w:pPr>
              <w:jc w:val="center"/>
              <w:rPr>
                <w:b/>
              </w:rPr>
            </w:pPr>
          </w:p>
        </w:tc>
        <w:tc>
          <w:tcPr>
            <w:tcW w:w="7507" w:type="dxa"/>
            <w:shd w:val="clear" w:color="auto" w:fill="BFBFBF" w:themeFill="background1" w:themeFillShade="BF"/>
          </w:tcPr>
          <w:p w:rsidR="00734A3C" w:rsidRPr="00734A3C" w:rsidRDefault="00734A3C" w:rsidP="001B4017">
            <w:pPr>
              <w:jc w:val="both"/>
              <w:rPr>
                <w:b/>
              </w:rPr>
            </w:pPr>
            <w:r w:rsidRPr="00734A3C">
              <w:rPr>
                <w:b/>
              </w:rPr>
              <w:t>Second Monitoring Period</w:t>
            </w:r>
          </w:p>
          <w:p w:rsidR="00734A3C" w:rsidRPr="000A2EB8" w:rsidRDefault="00734A3C" w:rsidP="001B4017">
            <w:pPr>
              <w:jc w:val="both"/>
              <w:rPr>
                <w:highlight w:val="yellow"/>
              </w:rPr>
            </w:pPr>
            <w:r w:rsidRPr="001B4017">
              <w:t>The Land registry House Price Index for Merthyr Tydfil demonstrates that there has been a -1.75% change in house prices for the period of this AMR.  However average house prices remain above those experienced in the region on the adoption of the LDP in December 2013.</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shd w:val="clear" w:color="auto" w:fill="D9D9D9" w:themeFill="background1" w:themeFillShade="D9"/>
          </w:tcPr>
          <w:p w:rsidR="00734A3C" w:rsidRDefault="00734A3C" w:rsidP="00A45248">
            <w:pPr>
              <w:tabs>
                <w:tab w:val="left" w:pos="2805"/>
              </w:tabs>
              <w:rPr>
                <w:b/>
              </w:rPr>
            </w:pPr>
            <w:r>
              <w:rPr>
                <w:b/>
              </w:rPr>
              <w:t>First Monitoring Period:</w:t>
            </w:r>
          </w:p>
          <w:p w:rsidR="00734A3C" w:rsidRPr="00810808" w:rsidRDefault="00734A3C" w:rsidP="00A45248">
            <w:pPr>
              <w:tabs>
                <w:tab w:val="left" w:pos="2805"/>
              </w:tabs>
            </w:pPr>
            <w:r w:rsidRPr="00810808">
              <w:t>Data from the Land Registry and derived from the Development Appraisal Toolkit suggests that house prices have risen somewhere between 9 and 17% in the Heads of the Valleys sub-market area during 2012-15.</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tcPr>
          <w:p w:rsidR="00734A3C" w:rsidRDefault="00734A3C" w:rsidP="00A45248">
            <w:pPr>
              <w:tabs>
                <w:tab w:val="left" w:pos="2805"/>
              </w:tabs>
              <w:rPr>
                <w:b/>
              </w:rPr>
            </w:pPr>
            <w:r>
              <w:rPr>
                <w:b/>
              </w:rPr>
              <w:t>Comment:</w:t>
            </w:r>
          </w:p>
          <w:p w:rsidR="00734A3C" w:rsidRPr="00A45248" w:rsidRDefault="00734A3C" w:rsidP="00A45248">
            <w:pPr>
              <w:tabs>
                <w:tab w:val="left" w:pos="2805"/>
              </w:tabs>
            </w:pPr>
            <w:r w:rsidRPr="00810808">
              <w:t>The assessment trigger for this indicator is a 2.5% change in house prices in the Heads of the Valley sub-market area and a 5% change across the rest of the National Park area.</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tcPr>
          <w:p w:rsidR="00734A3C" w:rsidRDefault="00734A3C" w:rsidP="00A45248">
            <w:pPr>
              <w:tabs>
                <w:tab w:val="left" w:pos="2805"/>
              </w:tabs>
              <w:rPr>
                <w:b/>
              </w:rPr>
            </w:pPr>
            <w:r>
              <w:rPr>
                <w:b/>
              </w:rPr>
              <w:t>Recommendation:</w:t>
            </w:r>
          </w:p>
          <w:p w:rsidR="00734A3C" w:rsidRPr="00E61EBC" w:rsidRDefault="00734A3C" w:rsidP="00A45248">
            <w:pPr>
              <w:jc w:val="both"/>
              <w:rPr>
                <w:color w:val="0F243E" w:themeColor="text2" w:themeShade="80"/>
              </w:rPr>
            </w:pPr>
            <w:r w:rsidRPr="00751CDB">
              <w:t xml:space="preserve">Given that the Land Registry data, together with the Development Appraisal Toolkit data, suggest a significant overall increase in house prices in the Heads of the Valleys area, albeit a reduction in 2015/16, it would be prudent for the Authority to </w:t>
            </w:r>
            <w:r w:rsidRPr="00751CDB">
              <w:lastRenderedPageBreak/>
              <w:t>consider additional viability testing with a view to modifying the Affordable Housing contribution targets (if appropriate) during the Review of the Local Development Plan.</w:t>
            </w:r>
          </w:p>
        </w:tc>
      </w:tr>
    </w:tbl>
    <w:p w:rsidR="00046C8E" w:rsidRDefault="00046C8E" w:rsidP="007467EF">
      <w:pPr>
        <w:jc w:val="both"/>
        <w:rPr>
          <w:b/>
          <w:i/>
        </w:rPr>
      </w:pPr>
    </w:p>
    <w:p w:rsidR="00FA730F" w:rsidRPr="00FA730F" w:rsidRDefault="00FA730F" w:rsidP="007467EF">
      <w:pPr>
        <w:jc w:val="both"/>
        <w:rPr>
          <w:b/>
        </w:rPr>
      </w:pPr>
      <w:r w:rsidRPr="00FA730F">
        <w:rPr>
          <w:b/>
        </w:rPr>
        <w:t>Figure 7</w:t>
      </w:r>
    </w:p>
    <w:tbl>
      <w:tblPr>
        <w:tblStyle w:val="TableGrid"/>
        <w:tblW w:w="0" w:type="auto"/>
        <w:tblLook w:val="04A0" w:firstRow="1" w:lastRow="0" w:firstColumn="1" w:lastColumn="0" w:noHBand="0" w:noVBand="1"/>
      </w:tblPr>
      <w:tblGrid>
        <w:gridCol w:w="1516"/>
        <w:gridCol w:w="7500"/>
      </w:tblGrid>
      <w:tr w:rsidR="00A45248" w:rsidRPr="009819AC" w:rsidTr="00734A3C">
        <w:tc>
          <w:tcPr>
            <w:tcW w:w="9016" w:type="dxa"/>
            <w:gridSpan w:val="2"/>
            <w:shd w:val="clear" w:color="auto" w:fill="4BACC6" w:themeFill="accent5"/>
          </w:tcPr>
          <w:p w:rsidR="00A45248" w:rsidRPr="00A45248" w:rsidRDefault="00A45248" w:rsidP="00A45248">
            <w:pPr>
              <w:tabs>
                <w:tab w:val="left" w:pos="2805"/>
              </w:tabs>
              <w:rPr>
                <w:b/>
              </w:rPr>
            </w:pPr>
            <w:r w:rsidRPr="00A45248">
              <w:rPr>
                <w:b/>
              </w:rPr>
              <w:t>Number of affordable dwellings granted consent</w:t>
            </w:r>
            <w:r w:rsidR="00A42D22">
              <w:rPr>
                <w:b/>
              </w:rPr>
              <w:t xml:space="preserve"> </w:t>
            </w:r>
          </w:p>
        </w:tc>
      </w:tr>
      <w:tr w:rsidR="00734A3C" w:rsidRPr="009819AC" w:rsidTr="00520F89">
        <w:tc>
          <w:tcPr>
            <w:tcW w:w="1516" w:type="dxa"/>
            <w:vMerge w:val="restart"/>
            <w:shd w:val="clear" w:color="auto" w:fill="00B050"/>
          </w:tcPr>
          <w:p w:rsidR="00734A3C" w:rsidRDefault="00734A3C" w:rsidP="00E61EBC">
            <w:pPr>
              <w:jc w:val="center"/>
              <w:rPr>
                <w:b/>
              </w:rPr>
            </w:pPr>
            <w:r>
              <w:rPr>
                <w:b/>
              </w:rPr>
              <w:t>Continue Monitoring</w:t>
            </w:r>
          </w:p>
        </w:tc>
        <w:tc>
          <w:tcPr>
            <w:tcW w:w="7500" w:type="dxa"/>
            <w:shd w:val="clear" w:color="auto" w:fill="00B050"/>
          </w:tcPr>
          <w:p w:rsidR="008B28F1" w:rsidRPr="00520F89" w:rsidRDefault="008B28F1" w:rsidP="008B28F1">
            <w:pPr>
              <w:jc w:val="both"/>
              <w:rPr>
                <w:b/>
              </w:rPr>
            </w:pPr>
            <w:r w:rsidRPr="00520F89">
              <w:rPr>
                <w:b/>
              </w:rPr>
              <w:t>Third Monitoring Period</w:t>
            </w:r>
          </w:p>
          <w:p w:rsidR="00734A3C" w:rsidRPr="00734A3C" w:rsidRDefault="008B28F1" w:rsidP="008B28F1">
            <w:pPr>
              <w:jc w:val="both"/>
              <w:rPr>
                <w:b/>
              </w:rPr>
            </w:pPr>
            <w:r w:rsidRPr="00520F89">
              <w:t xml:space="preserve">Permission was granted for 63 affordable dwellings.  This accounts for </w:t>
            </w:r>
            <w:r w:rsidR="00520F89">
              <w:t>23</w:t>
            </w:r>
            <w:r w:rsidRPr="00520F89">
              <w:t>% of all residential permissions.</w:t>
            </w:r>
          </w:p>
        </w:tc>
      </w:tr>
      <w:tr w:rsidR="00734A3C" w:rsidRPr="009819AC" w:rsidTr="00734A3C">
        <w:tc>
          <w:tcPr>
            <w:tcW w:w="1516" w:type="dxa"/>
            <w:vMerge/>
            <w:shd w:val="clear" w:color="auto" w:fill="00B050"/>
          </w:tcPr>
          <w:p w:rsidR="00734A3C" w:rsidRPr="009819AC" w:rsidRDefault="00734A3C" w:rsidP="00E61EBC">
            <w:pPr>
              <w:jc w:val="center"/>
              <w:rPr>
                <w:b/>
              </w:rPr>
            </w:pPr>
          </w:p>
        </w:tc>
        <w:tc>
          <w:tcPr>
            <w:tcW w:w="7500" w:type="dxa"/>
            <w:shd w:val="clear" w:color="auto" w:fill="D9D9D9" w:themeFill="background1" w:themeFillShade="D9"/>
          </w:tcPr>
          <w:p w:rsidR="00734A3C" w:rsidRPr="00734A3C" w:rsidRDefault="00734A3C" w:rsidP="000A0D24">
            <w:pPr>
              <w:jc w:val="both"/>
              <w:rPr>
                <w:b/>
              </w:rPr>
            </w:pPr>
            <w:r w:rsidRPr="00734A3C">
              <w:rPr>
                <w:b/>
              </w:rPr>
              <w:t>Second Monitoring Period</w:t>
            </w:r>
          </w:p>
          <w:p w:rsidR="00734A3C" w:rsidRPr="0016310D" w:rsidRDefault="00734A3C" w:rsidP="000A0D24">
            <w:pPr>
              <w:jc w:val="both"/>
            </w:pPr>
            <w:r w:rsidRPr="0016310D">
              <w:t xml:space="preserve">Permission was granted for </w:t>
            </w:r>
            <w:r>
              <w:t>45</w:t>
            </w:r>
            <w:r w:rsidRPr="0016310D">
              <w:t xml:space="preserve"> affordable dwellings.  This accounts for </w:t>
            </w:r>
            <w:r>
              <w:t>38</w:t>
            </w:r>
            <w:r w:rsidRPr="0016310D">
              <w:t>% of all residential permissions.</w:t>
            </w:r>
          </w:p>
        </w:tc>
      </w:tr>
      <w:tr w:rsidR="00734A3C" w:rsidRPr="009819AC" w:rsidTr="00520F89">
        <w:tc>
          <w:tcPr>
            <w:tcW w:w="1516" w:type="dxa"/>
            <w:vMerge/>
            <w:shd w:val="clear" w:color="auto" w:fill="00B050"/>
          </w:tcPr>
          <w:p w:rsidR="00734A3C" w:rsidRDefault="00734A3C" w:rsidP="00E61EBC">
            <w:pPr>
              <w:jc w:val="center"/>
              <w:rPr>
                <w:b/>
              </w:rPr>
            </w:pPr>
          </w:p>
        </w:tc>
        <w:tc>
          <w:tcPr>
            <w:tcW w:w="7500" w:type="dxa"/>
            <w:shd w:val="clear" w:color="auto" w:fill="F2F2F2" w:themeFill="background1" w:themeFillShade="F2"/>
          </w:tcPr>
          <w:p w:rsidR="00734A3C" w:rsidRDefault="00734A3C" w:rsidP="00A45248">
            <w:pPr>
              <w:jc w:val="both"/>
              <w:rPr>
                <w:b/>
              </w:rPr>
            </w:pPr>
            <w:r>
              <w:rPr>
                <w:b/>
              </w:rPr>
              <w:t>First Monitoring Period:</w:t>
            </w:r>
          </w:p>
          <w:p w:rsidR="00734A3C" w:rsidRPr="00706956" w:rsidRDefault="00734A3C" w:rsidP="00A45248">
            <w:pPr>
              <w:jc w:val="both"/>
            </w:pPr>
            <w:r w:rsidRPr="00706956">
              <w:t>Permission was granted for 24 affordable dwellings.  This accounts for 17% of all residential permissions.</w:t>
            </w:r>
          </w:p>
        </w:tc>
      </w:tr>
      <w:tr w:rsidR="00734A3C" w:rsidRPr="009819AC" w:rsidTr="00734A3C">
        <w:tc>
          <w:tcPr>
            <w:tcW w:w="1516" w:type="dxa"/>
            <w:vMerge/>
            <w:shd w:val="clear" w:color="auto" w:fill="00B050"/>
          </w:tcPr>
          <w:p w:rsidR="00734A3C" w:rsidRDefault="00734A3C" w:rsidP="00E61EBC">
            <w:pPr>
              <w:jc w:val="center"/>
              <w:rPr>
                <w:b/>
              </w:rPr>
            </w:pPr>
          </w:p>
        </w:tc>
        <w:tc>
          <w:tcPr>
            <w:tcW w:w="7500" w:type="dxa"/>
          </w:tcPr>
          <w:p w:rsidR="00734A3C" w:rsidRDefault="00734A3C" w:rsidP="00A45248">
            <w:pPr>
              <w:jc w:val="both"/>
              <w:rPr>
                <w:b/>
              </w:rPr>
            </w:pPr>
            <w:r>
              <w:rPr>
                <w:b/>
              </w:rPr>
              <w:t>Comment:</w:t>
            </w:r>
          </w:p>
          <w:p w:rsidR="00734A3C" w:rsidRDefault="00734A3C" w:rsidP="009819AC">
            <w:pPr>
              <w:jc w:val="both"/>
            </w:pPr>
            <w:r w:rsidRPr="00706956">
              <w:t>The target for this indicator is 47 Affordable Housing dwellings to be granted planning permiss</w:t>
            </w:r>
            <w:r>
              <w:t>ion per annum (+/- 30%).  T</w:t>
            </w:r>
            <w:r w:rsidRPr="00706956">
              <w:t>here is a</w:t>
            </w:r>
            <w:r>
              <w:t>lso a</w:t>
            </w:r>
            <w:r w:rsidRPr="00706956">
              <w:t xml:space="preserve">n assessment trigger of less than 38 Affordable Housing dwellings being provided annually for 3 consecutive years.  </w:t>
            </w:r>
            <w:r>
              <w:t>Accordingly, the annual target has been met and the 3 year assessment trigger can be reset.</w:t>
            </w:r>
          </w:p>
          <w:p w:rsidR="00734A3C" w:rsidRDefault="00734A3C" w:rsidP="009819AC">
            <w:pPr>
              <w:jc w:val="both"/>
            </w:pPr>
          </w:p>
          <w:p w:rsidR="00734A3C" w:rsidRPr="0016310D" w:rsidRDefault="00520F89" w:rsidP="009819AC">
            <w:pPr>
              <w:jc w:val="both"/>
            </w:pPr>
            <w:r>
              <w:t xml:space="preserve">It should also be noted that </w:t>
            </w:r>
            <w:r w:rsidR="00734A3C">
              <w:t>Commute</w:t>
            </w:r>
            <w:r>
              <w:t>d sums ‘committed to’ from planning permissions since the adoption of the LDP is £</w:t>
            </w:r>
            <w:r w:rsidRPr="00520F89">
              <w:t>1,049,919.97</w:t>
            </w:r>
          </w:p>
        </w:tc>
      </w:tr>
      <w:tr w:rsidR="00734A3C" w:rsidRPr="009819AC" w:rsidTr="00734A3C">
        <w:tc>
          <w:tcPr>
            <w:tcW w:w="1516" w:type="dxa"/>
            <w:vMerge/>
            <w:shd w:val="clear" w:color="auto" w:fill="00B050"/>
          </w:tcPr>
          <w:p w:rsidR="00734A3C" w:rsidRDefault="00734A3C" w:rsidP="00E61EBC">
            <w:pPr>
              <w:jc w:val="center"/>
              <w:rPr>
                <w:b/>
              </w:rPr>
            </w:pPr>
          </w:p>
        </w:tc>
        <w:tc>
          <w:tcPr>
            <w:tcW w:w="7500" w:type="dxa"/>
          </w:tcPr>
          <w:p w:rsidR="00734A3C" w:rsidRDefault="00734A3C" w:rsidP="00A45248">
            <w:pPr>
              <w:jc w:val="both"/>
            </w:pPr>
            <w:r w:rsidRPr="00D23D8C">
              <w:rPr>
                <w:b/>
              </w:rPr>
              <w:t>Recommendation</w:t>
            </w:r>
            <w:r>
              <w:t>:</w:t>
            </w:r>
          </w:p>
          <w:p w:rsidR="00734A3C" w:rsidRPr="0016310D" w:rsidRDefault="00734A3C" w:rsidP="00706956">
            <w:pPr>
              <w:jc w:val="both"/>
            </w:pPr>
            <w:r w:rsidRPr="00D23D8C">
              <w:t>This indicator is to be mon</w:t>
            </w:r>
            <w:r>
              <w:t>itored for a further year.</w:t>
            </w:r>
          </w:p>
        </w:tc>
      </w:tr>
    </w:tbl>
    <w:p w:rsidR="00046C8E" w:rsidRDefault="00046C8E" w:rsidP="00A42D22">
      <w:pPr>
        <w:jc w:val="both"/>
        <w:rPr>
          <w:b/>
          <w:i/>
        </w:rPr>
      </w:pPr>
    </w:p>
    <w:p w:rsidR="00FA730F" w:rsidRPr="00FA730F" w:rsidRDefault="00FA730F" w:rsidP="00A42D22">
      <w:pPr>
        <w:jc w:val="both"/>
        <w:rPr>
          <w:b/>
        </w:rPr>
      </w:pPr>
      <w:r w:rsidRPr="00FA730F">
        <w:rPr>
          <w:b/>
        </w:rPr>
        <w:t>Figure 8</w:t>
      </w:r>
    </w:p>
    <w:tbl>
      <w:tblPr>
        <w:tblStyle w:val="TableGrid"/>
        <w:tblW w:w="0" w:type="auto"/>
        <w:tblLook w:val="04A0" w:firstRow="1" w:lastRow="0" w:firstColumn="1" w:lastColumn="0" w:noHBand="0" w:noVBand="1"/>
      </w:tblPr>
      <w:tblGrid>
        <w:gridCol w:w="1516"/>
        <w:gridCol w:w="7500"/>
      </w:tblGrid>
      <w:tr w:rsidR="00A45248" w:rsidRPr="009819AC" w:rsidTr="00734A3C">
        <w:tc>
          <w:tcPr>
            <w:tcW w:w="9016" w:type="dxa"/>
            <w:gridSpan w:val="2"/>
            <w:shd w:val="clear" w:color="auto" w:fill="4BACC6" w:themeFill="accent5"/>
          </w:tcPr>
          <w:p w:rsidR="00A45248" w:rsidRPr="00A45248" w:rsidRDefault="00A45248" w:rsidP="009819AC">
            <w:pPr>
              <w:jc w:val="both"/>
              <w:rPr>
                <w:b/>
              </w:rPr>
            </w:pPr>
            <w:r w:rsidRPr="00A45248">
              <w:rPr>
                <w:b/>
              </w:rPr>
              <w:t>Number of affordable dwellings completed</w:t>
            </w:r>
          </w:p>
        </w:tc>
      </w:tr>
      <w:tr w:rsidR="00734A3C" w:rsidRPr="009819AC" w:rsidTr="00520F89">
        <w:tc>
          <w:tcPr>
            <w:tcW w:w="1516" w:type="dxa"/>
            <w:vMerge w:val="restart"/>
            <w:shd w:val="clear" w:color="auto" w:fill="00B050"/>
          </w:tcPr>
          <w:p w:rsidR="00734A3C" w:rsidRPr="00D23D8C" w:rsidRDefault="00734A3C" w:rsidP="00D23D8C">
            <w:pPr>
              <w:jc w:val="center"/>
              <w:rPr>
                <w:b/>
              </w:rPr>
            </w:pPr>
            <w:r w:rsidRPr="00D23D8C">
              <w:rPr>
                <w:b/>
              </w:rPr>
              <w:t>Continue Monitoring</w:t>
            </w:r>
          </w:p>
        </w:tc>
        <w:tc>
          <w:tcPr>
            <w:tcW w:w="7500" w:type="dxa"/>
            <w:shd w:val="clear" w:color="auto" w:fill="00B050"/>
          </w:tcPr>
          <w:p w:rsidR="00640609" w:rsidRPr="00520F89" w:rsidRDefault="00640609" w:rsidP="00640609">
            <w:pPr>
              <w:jc w:val="both"/>
              <w:rPr>
                <w:b/>
              </w:rPr>
            </w:pPr>
            <w:r w:rsidRPr="00520F89">
              <w:rPr>
                <w:b/>
              </w:rPr>
              <w:t>Third Monitoring Period</w:t>
            </w:r>
          </w:p>
          <w:p w:rsidR="00640609" w:rsidRPr="007255E1" w:rsidRDefault="00640609" w:rsidP="00640609">
            <w:pPr>
              <w:jc w:val="both"/>
            </w:pPr>
            <w:r w:rsidRPr="00520F89">
              <w:rPr>
                <w:b/>
              </w:rPr>
              <w:t xml:space="preserve">Completions 2016-2017: </w:t>
            </w:r>
            <w:r w:rsidR="00FD0AD4" w:rsidRPr="00520F89">
              <w:rPr>
                <w:b/>
              </w:rPr>
              <w:t>24</w:t>
            </w:r>
            <w:r w:rsidR="00520F89">
              <w:rPr>
                <w:b/>
              </w:rPr>
              <w:t xml:space="preserve">   </w:t>
            </w:r>
          </w:p>
          <w:p w:rsidR="00734A3C" w:rsidRDefault="00734A3C" w:rsidP="009819AC">
            <w:pPr>
              <w:jc w:val="both"/>
              <w:rPr>
                <w:b/>
              </w:rPr>
            </w:pPr>
          </w:p>
        </w:tc>
      </w:tr>
      <w:tr w:rsidR="00734A3C" w:rsidRPr="009819AC" w:rsidTr="00520F89">
        <w:tc>
          <w:tcPr>
            <w:tcW w:w="1516" w:type="dxa"/>
            <w:vMerge/>
            <w:shd w:val="clear" w:color="auto" w:fill="00B050"/>
          </w:tcPr>
          <w:p w:rsidR="00734A3C" w:rsidRPr="009819AC" w:rsidRDefault="00734A3C" w:rsidP="00D23D8C">
            <w:pPr>
              <w:jc w:val="center"/>
              <w:rPr>
                <w:b/>
              </w:rPr>
            </w:pPr>
          </w:p>
        </w:tc>
        <w:tc>
          <w:tcPr>
            <w:tcW w:w="7500" w:type="dxa"/>
            <w:shd w:val="clear" w:color="auto" w:fill="BFBFBF" w:themeFill="background1" w:themeFillShade="BF"/>
          </w:tcPr>
          <w:p w:rsidR="00734A3C" w:rsidRDefault="00734A3C" w:rsidP="009819AC">
            <w:pPr>
              <w:jc w:val="both"/>
              <w:rPr>
                <w:b/>
              </w:rPr>
            </w:pPr>
            <w:r>
              <w:rPr>
                <w:b/>
              </w:rPr>
              <w:t>Second Monitoring Period</w:t>
            </w:r>
          </w:p>
          <w:p w:rsidR="00734A3C" w:rsidRPr="007255E1" w:rsidRDefault="00734A3C" w:rsidP="009819AC">
            <w:pPr>
              <w:jc w:val="both"/>
            </w:pPr>
            <w:r>
              <w:rPr>
                <w:b/>
              </w:rPr>
              <w:t xml:space="preserve">Completions 2015-2016: </w:t>
            </w:r>
            <w:r w:rsidRPr="001B4017">
              <w:t>10</w:t>
            </w:r>
          </w:p>
          <w:p w:rsidR="00734A3C" w:rsidRPr="007255E1" w:rsidRDefault="00734A3C" w:rsidP="000A0D24">
            <w:pPr>
              <w:jc w:val="both"/>
            </w:pP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shd w:val="clear" w:color="auto" w:fill="D9D9D9" w:themeFill="background1" w:themeFillShade="D9"/>
          </w:tcPr>
          <w:p w:rsidR="00734A3C" w:rsidRDefault="00734A3C" w:rsidP="00706956">
            <w:pPr>
              <w:jc w:val="both"/>
              <w:rPr>
                <w:b/>
              </w:rPr>
            </w:pPr>
            <w:r>
              <w:rPr>
                <w:b/>
              </w:rPr>
              <w:t xml:space="preserve">First </w:t>
            </w:r>
            <w:r w:rsidRPr="00580887">
              <w:rPr>
                <w:b/>
              </w:rPr>
              <w:t>Monitoring Period:</w:t>
            </w:r>
          </w:p>
          <w:p w:rsidR="00734A3C" w:rsidRDefault="00734A3C" w:rsidP="00706956">
            <w:pPr>
              <w:jc w:val="both"/>
              <w:rPr>
                <w:b/>
              </w:rPr>
            </w:pPr>
          </w:p>
          <w:p w:rsidR="00734A3C" w:rsidRPr="007255E1" w:rsidRDefault="00734A3C" w:rsidP="00706956">
            <w:pPr>
              <w:jc w:val="both"/>
            </w:pPr>
            <w:r>
              <w:rPr>
                <w:b/>
              </w:rPr>
              <w:lastRenderedPageBreak/>
              <w:t xml:space="preserve">Completions 2013-2014 </w:t>
            </w:r>
            <w:r>
              <w:t>31</w:t>
            </w:r>
          </w:p>
          <w:p w:rsidR="00734A3C" w:rsidRDefault="00734A3C" w:rsidP="00706956">
            <w:pPr>
              <w:jc w:val="both"/>
              <w:rPr>
                <w:b/>
              </w:rPr>
            </w:pPr>
            <w:r>
              <w:rPr>
                <w:b/>
              </w:rPr>
              <w:t xml:space="preserve">Completions 2014-2015 </w:t>
            </w:r>
            <w:r>
              <w:t>6</w:t>
            </w: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tcPr>
          <w:p w:rsidR="00734A3C" w:rsidRDefault="00734A3C" w:rsidP="00AE492C">
            <w:pPr>
              <w:jc w:val="both"/>
              <w:rPr>
                <w:b/>
              </w:rPr>
            </w:pPr>
            <w:r>
              <w:rPr>
                <w:b/>
              </w:rPr>
              <w:t>Comment:</w:t>
            </w:r>
          </w:p>
          <w:p w:rsidR="00734A3C" w:rsidRPr="00751CDB" w:rsidRDefault="00734A3C" w:rsidP="00AE492C">
            <w:pPr>
              <w:jc w:val="both"/>
            </w:pPr>
            <w:r w:rsidRPr="00751CDB">
              <w:t>The second assessment trigger requires in excess of 15 Affordable Housing dwellings to be completed annually for three consecutive years.  Accordingly, this indicator requires monitoring for a further year acknowledging that only 6 Affordable Housing dwellings were completed during 2014-15 and 10 for 2015-16.</w:t>
            </w:r>
          </w:p>
          <w:p w:rsidR="00734A3C" w:rsidRPr="00751CDB" w:rsidRDefault="00734A3C" w:rsidP="00AE492C">
            <w:pPr>
              <w:jc w:val="both"/>
            </w:pPr>
          </w:p>
          <w:p w:rsidR="00734A3C" w:rsidRDefault="00751CDB" w:rsidP="00AE492C">
            <w:pPr>
              <w:jc w:val="both"/>
            </w:pPr>
            <w:r w:rsidRPr="00751CDB">
              <w:t>24 completions were recorded during the monitoring period, exceeding the minimum requirements of the indicator</w:t>
            </w:r>
            <w:r w:rsidR="00734A3C" w:rsidRPr="00751CDB">
              <w:t xml:space="preserve">.  </w:t>
            </w:r>
          </w:p>
          <w:p w:rsidR="00751CDB" w:rsidRDefault="00751CDB" w:rsidP="00AE492C">
            <w:pPr>
              <w:jc w:val="both"/>
            </w:pPr>
          </w:p>
          <w:p w:rsidR="00751CDB" w:rsidRPr="00751CDB" w:rsidRDefault="00751CDB" w:rsidP="00AE492C">
            <w:pPr>
              <w:jc w:val="both"/>
              <w:rPr>
                <w:b/>
              </w:rPr>
            </w:pPr>
            <w:r>
              <w:t xml:space="preserve">It should also be noted that 22 units are currently under construction at allocation </w:t>
            </w:r>
            <w:r w:rsidRPr="00751CDB">
              <w:t>DBR-</w:t>
            </w:r>
            <w:r>
              <w:t>CR-A Land above the Televillage in</w:t>
            </w:r>
            <w:r w:rsidRPr="00751CDB">
              <w:t xml:space="preserve"> Crickhowell</w:t>
            </w:r>
            <w:r>
              <w:t xml:space="preserve"> and are expected to be recorded in next year’s AMR.</w:t>
            </w:r>
          </w:p>
          <w:p w:rsidR="00734A3C" w:rsidRPr="00751CDB" w:rsidRDefault="00734A3C" w:rsidP="00AE492C">
            <w:pPr>
              <w:jc w:val="both"/>
            </w:pPr>
          </w:p>
          <w:p w:rsidR="00734A3C" w:rsidRPr="00A45248" w:rsidRDefault="00734A3C" w:rsidP="00AE492C">
            <w:pPr>
              <w:jc w:val="both"/>
            </w:pPr>
            <w:r w:rsidRPr="00751CDB">
              <w:t xml:space="preserve">Reference is made above to the level of </w:t>
            </w:r>
            <w:r>
              <w:t>Affordable Housing contributions made via a commuted sum payment.  Clearly, there will be a lag period between the receipt of such sums and the realisation of these in the form of the development of Affordable Housing units on the ground.  Accordingly, there must be some acknowledgement of this.</w:t>
            </w: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tcPr>
          <w:p w:rsidR="00734A3C" w:rsidRPr="00D224DB" w:rsidRDefault="00734A3C" w:rsidP="00A45248">
            <w:pPr>
              <w:jc w:val="both"/>
              <w:rPr>
                <w:b/>
              </w:rPr>
            </w:pPr>
            <w:r w:rsidRPr="00D224DB">
              <w:rPr>
                <w:b/>
              </w:rPr>
              <w:t>Recommendation:</w:t>
            </w:r>
          </w:p>
          <w:p w:rsidR="00734A3C" w:rsidRPr="00BB6469" w:rsidRDefault="00751CDB" w:rsidP="00A45248">
            <w:pPr>
              <w:jc w:val="both"/>
            </w:pPr>
            <w:r>
              <w:t>The indicator will continue to be monitored.</w:t>
            </w:r>
          </w:p>
        </w:tc>
      </w:tr>
    </w:tbl>
    <w:p w:rsidR="00C3207F" w:rsidRDefault="00C3207F" w:rsidP="00C3207F">
      <w:pPr>
        <w:jc w:val="both"/>
        <w:rPr>
          <w:b/>
        </w:rPr>
      </w:pPr>
    </w:p>
    <w:p w:rsidR="00FA730F" w:rsidRPr="00C3207F" w:rsidRDefault="00FA730F" w:rsidP="00C3207F">
      <w:pPr>
        <w:jc w:val="both"/>
        <w:rPr>
          <w:b/>
        </w:rPr>
      </w:pPr>
      <w:r>
        <w:rPr>
          <w:b/>
        </w:rPr>
        <w:t>Figure 9</w:t>
      </w:r>
    </w:p>
    <w:tbl>
      <w:tblPr>
        <w:tblStyle w:val="TableGrid"/>
        <w:tblW w:w="0" w:type="auto"/>
        <w:tblLayout w:type="fixed"/>
        <w:tblLook w:val="04A0" w:firstRow="1" w:lastRow="0" w:firstColumn="1" w:lastColumn="0" w:noHBand="0" w:noVBand="1"/>
      </w:tblPr>
      <w:tblGrid>
        <w:gridCol w:w="1555"/>
        <w:gridCol w:w="7461"/>
      </w:tblGrid>
      <w:tr w:rsidR="00A45248" w:rsidRPr="009819AC" w:rsidTr="00580887">
        <w:tc>
          <w:tcPr>
            <w:tcW w:w="9016" w:type="dxa"/>
            <w:gridSpan w:val="2"/>
            <w:shd w:val="clear" w:color="auto" w:fill="4BACC6" w:themeFill="accent5"/>
          </w:tcPr>
          <w:p w:rsidR="00A45248" w:rsidRPr="00A45248" w:rsidRDefault="00A45248" w:rsidP="00A45248">
            <w:pPr>
              <w:jc w:val="both"/>
              <w:rPr>
                <w:b/>
              </w:rPr>
            </w:pPr>
            <w:r w:rsidRPr="00A45248">
              <w:rPr>
                <w:b/>
              </w:rPr>
              <w:t>Number of market dwellings coming forward on sites of 3 dwellings or more</w:t>
            </w:r>
            <w:r w:rsidR="00A42D22">
              <w:rPr>
                <w:b/>
              </w:rPr>
              <w:t xml:space="preserve"> </w:t>
            </w:r>
          </w:p>
        </w:tc>
      </w:tr>
      <w:tr w:rsidR="00734A3C" w:rsidRPr="009819AC" w:rsidTr="00027012">
        <w:tc>
          <w:tcPr>
            <w:tcW w:w="1555" w:type="dxa"/>
            <w:vMerge w:val="restart"/>
            <w:shd w:val="clear" w:color="auto" w:fill="00B050"/>
          </w:tcPr>
          <w:p w:rsidR="00734A3C" w:rsidRPr="00D224DB" w:rsidRDefault="00734A3C" w:rsidP="00D224DB">
            <w:pPr>
              <w:jc w:val="center"/>
              <w:rPr>
                <w:b/>
              </w:rPr>
            </w:pPr>
            <w:r w:rsidRPr="00D224DB">
              <w:rPr>
                <w:b/>
              </w:rPr>
              <w:t>Continue Monitoring</w:t>
            </w:r>
          </w:p>
        </w:tc>
        <w:tc>
          <w:tcPr>
            <w:tcW w:w="7461" w:type="dxa"/>
            <w:shd w:val="clear" w:color="auto" w:fill="00B050"/>
          </w:tcPr>
          <w:p w:rsidR="00AB2B3F" w:rsidRPr="002B3348" w:rsidRDefault="00AB2B3F" w:rsidP="00AB2B3F">
            <w:pPr>
              <w:tabs>
                <w:tab w:val="left" w:pos="3012"/>
                <w:tab w:val="center" w:pos="3835"/>
              </w:tabs>
              <w:jc w:val="both"/>
              <w:rPr>
                <w:b/>
              </w:rPr>
            </w:pPr>
            <w:r w:rsidRPr="002B3348">
              <w:rPr>
                <w:b/>
              </w:rPr>
              <w:t>Third Monitoring Period</w:t>
            </w:r>
            <w:r w:rsidRPr="002B3348">
              <w:rPr>
                <w:b/>
              </w:rPr>
              <w:tab/>
            </w:r>
            <w:r w:rsidRPr="002B3348">
              <w:rPr>
                <w:b/>
              </w:rPr>
              <w:tab/>
            </w:r>
          </w:p>
          <w:p w:rsidR="00734A3C" w:rsidRPr="002B3348" w:rsidRDefault="00AB2B3F" w:rsidP="00AB2B3F">
            <w:pPr>
              <w:tabs>
                <w:tab w:val="left" w:pos="3012"/>
                <w:tab w:val="center" w:pos="3835"/>
              </w:tabs>
              <w:jc w:val="both"/>
            </w:pPr>
            <w:r w:rsidRPr="002B3348">
              <w:t xml:space="preserve">23 </w:t>
            </w:r>
            <w:r w:rsidR="002B37C5" w:rsidRPr="002B3348">
              <w:t xml:space="preserve">market </w:t>
            </w:r>
            <w:r w:rsidRPr="002B3348">
              <w:t xml:space="preserve">units were permitted on 4 separate sites where it was demonstrated that </w:t>
            </w:r>
            <w:r w:rsidR="002B37C5" w:rsidRPr="002B3348">
              <w:t xml:space="preserve">the </w:t>
            </w:r>
            <w:r w:rsidRPr="002B3348">
              <w:t>provision of</w:t>
            </w:r>
            <w:r w:rsidR="002B37C5" w:rsidRPr="002B3348">
              <w:t xml:space="preserve"> onsite</w:t>
            </w:r>
            <w:r w:rsidRPr="002B3348">
              <w:t xml:space="preserve"> affordable housing was not viable.  This amounts to a loss of </w:t>
            </w:r>
            <w:r w:rsidR="002B37C5" w:rsidRPr="002B3348">
              <w:t>19</w:t>
            </w:r>
            <w:r w:rsidRPr="002B3348">
              <w:t xml:space="preserve"> affordable dwellings.</w:t>
            </w:r>
          </w:p>
          <w:p w:rsidR="002B37C5" w:rsidRPr="00734A3C" w:rsidRDefault="002B37C5" w:rsidP="002B37C5">
            <w:pPr>
              <w:tabs>
                <w:tab w:val="left" w:pos="3012"/>
                <w:tab w:val="center" w:pos="3835"/>
              </w:tabs>
              <w:jc w:val="both"/>
              <w:rPr>
                <w:b/>
              </w:rPr>
            </w:pPr>
            <w:r w:rsidRPr="002B3348">
              <w:t xml:space="preserve">There has been a further loss of </w:t>
            </w:r>
            <w:r w:rsidR="00C96224" w:rsidRPr="002B3348">
              <w:t>21.5</w:t>
            </w:r>
            <w:r w:rsidRPr="002B3348">
              <w:t xml:space="preserve"> affordable dwellings on sites where some onsite prov</w:t>
            </w:r>
            <w:r w:rsidR="002B3348">
              <w:t>ision has been provided, but</w:t>
            </w:r>
            <w:r w:rsidRPr="002B3348">
              <w:t xml:space="preserve"> not the full affordable housing target.</w:t>
            </w:r>
            <w:r>
              <w:t xml:space="preserve"> </w:t>
            </w:r>
          </w:p>
        </w:tc>
      </w:tr>
      <w:tr w:rsidR="00734A3C" w:rsidRPr="009819AC" w:rsidTr="00027012">
        <w:tc>
          <w:tcPr>
            <w:tcW w:w="1555" w:type="dxa"/>
            <w:vMerge/>
            <w:shd w:val="clear" w:color="auto" w:fill="00B050"/>
          </w:tcPr>
          <w:p w:rsidR="00734A3C" w:rsidRPr="009819AC" w:rsidRDefault="00734A3C" w:rsidP="00D224DB">
            <w:pPr>
              <w:jc w:val="center"/>
              <w:rPr>
                <w:b/>
              </w:rPr>
            </w:pPr>
          </w:p>
        </w:tc>
        <w:tc>
          <w:tcPr>
            <w:tcW w:w="7461" w:type="dxa"/>
            <w:shd w:val="clear" w:color="auto" w:fill="BFBFBF" w:themeFill="background1" w:themeFillShade="BF"/>
          </w:tcPr>
          <w:p w:rsidR="00734A3C" w:rsidRPr="00734A3C" w:rsidRDefault="00734A3C" w:rsidP="00734A3C">
            <w:pPr>
              <w:tabs>
                <w:tab w:val="left" w:pos="3012"/>
                <w:tab w:val="center" w:pos="3835"/>
              </w:tabs>
              <w:jc w:val="both"/>
              <w:rPr>
                <w:b/>
              </w:rPr>
            </w:pPr>
            <w:r w:rsidRPr="00734A3C">
              <w:rPr>
                <w:b/>
              </w:rPr>
              <w:t>Second Monitoring Period</w:t>
            </w:r>
            <w:r>
              <w:rPr>
                <w:b/>
              </w:rPr>
              <w:tab/>
            </w:r>
            <w:r>
              <w:rPr>
                <w:b/>
              </w:rPr>
              <w:tab/>
            </w:r>
          </w:p>
          <w:p w:rsidR="00734A3C" w:rsidRPr="00FE1884" w:rsidRDefault="00734A3C" w:rsidP="00CA0ACD">
            <w:pPr>
              <w:jc w:val="both"/>
            </w:pPr>
            <w:r>
              <w:t>25 units were permitted on 4 separate sites where it was demonstrated that provision of affordable housing was not viable.  This amount to a loss of 5 affordable dwellings</w:t>
            </w: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D9D9D9" w:themeFill="background1" w:themeFillShade="D9"/>
          </w:tcPr>
          <w:p w:rsidR="00734A3C" w:rsidRDefault="00734A3C" w:rsidP="00A34D80">
            <w:pPr>
              <w:jc w:val="both"/>
              <w:rPr>
                <w:b/>
              </w:rPr>
            </w:pPr>
            <w:r>
              <w:rPr>
                <w:b/>
              </w:rPr>
              <w:t>First</w:t>
            </w:r>
            <w:r w:rsidRPr="00580887">
              <w:rPr>
                <w:b/>
              </w:rPr>
              <w:t xml:space="preserve"> Monitoring Period:</w:t>
            </w:r>
          </w:p>
          <w:p w:rsidR="00734A3C" w:rsidRPr="00580887" w:rsidRDefault="00734A3C" w:rsidP="00A34D80">
            <w:pPr>
              <w:jc w:val="both"/>
            </w:pPr>
            <w:r w:rsidRPr="00580887">
              <w:lastRenderedPageBreak/>
              <w:t xml:space="preserve">5 permissions </w:t>
            </w:r>
            <w:r>
              <w:t xml:space="preserve">(amounting to the loss of 13 Affordable Dwellings on the ground) </w:t>
            </w:r>
            <w:r w:rsidRPr="00580887">
              <w:t>were granted on site for 3 or more dwellings which did not achieve policy levels of affordable housing contribution.</w:t>
            </w: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auto"/>
          </w:tcPr>
          <w:p w:rsidR="00734A3C" w:rsidRDefault="00734A3C" w:rsidP="00A34D80">
            <w:pPr>
              <w:jc w:val="both"/>
              <w:rPr>
                <w:b/>
              </w:rPr>
            </w:pPr>
            <w:r>
              <w:rPr>
                <w:b/>
              </w:rPr>
              <w:t>Comment:</w:t>
            </w:r>
          </w:p>
          <w:p w:rsidR="002B3348" w:rsidRDefault="00734A3C" w:rsidP="004046A6">
            <w:pPr>
              <w:jc w:val="both"/>
            </w:pPr>
            <w:r>
              <w:t>An assessment of the policy would only be triggered when in excess of 10 market dwellings are granted annually for three consecutive years.  Accordingly, assessment will not be r</w:t>
            </w:r>
            <w:r w:rsidR="002B3348">
              <w:t>equired for at least a further 2</w:t>
            </w:r>
            <w:r>
              <w:t xml:space="preserve"> years.</w:t>
            </w:r>
          </w:p>
          <w:p w:rsidR="002B3348" w:rsidRDefault="002B3348" w:rsidP="004046A6">
            <w:pPr>
              <w:jc w:val="both"/>
            </w:pPr>
          </w:p>
          <w:p w:rsidR="00734A3C" w:rsidRDefault="002B3348" w:rsidP="004046A6">
            <w:pPr>
              <w:jc w:val="both"/>
            </w:pPr>
            <w:r>
              <w:t>It should also be noted that planning permissions 15/12262/OUT and 15/12263/FUL relate to a brownfield site partly within and partly adjacent to the Level 4 Limited Growth Settlement of Llangattock (The Cedars and Chestnuts)</w:t>
            </w:r>
            <w:r w:rsidR="008E4DD7">
              <w:t>.</w:t>
            </w:r>
            <w:r w:rsidR="00734A3C">
              <w:t xml:space="preserve"> </w:t>
            </w:r>
            <w:r w:rsidR="008E4DD7">
              <w:t xml:space="preserve"> Whilst the proposal for the overall provision of 17 dwellings (including 4 affordable units) was not wholly in line with adopted policy (to only allow 100% affordable housing) in such locations, it was considered that there were material considerations of such significance that they outweighed the policy presumption against the proposed development.  It is reasonable to suggest, therefore, that this scheme is anomalous and the 13 –non-affordable’ units proposed are unlikely to set an undesirable precedent in such locations.</w:t>
            </w:r>
          </w:p>
          <w:p w:rsidR="00734A3C" w:rsidRDefault="00734A3C" w:rsidP="004046A6">
            <w:pPr>
              <w:jc w:val="both"/>
            </w:pPr>
          </w:p>
          <w:p w:rsidR="00734A3C" w:rsidRDefault="00734A3C" w:rsidP="004046A6">
            <w:pPr>
              <w:jc w:val="both"/>
            </w:pPr>
            <w:r>
              <w:t xml:space="preserve">The level of equitable commuted sum payments in lieu of on-site contributions shall also be taken into account to offset the perceived impact.  Eventually, these monies will be utilised exclusively for the provision of Affordable Housing on the ground.    </w:t>
            </w:r>
          </w:p>
          <w:p w:rsidR="00734A3C" w:rsidRPr="0016310D" w:rsidRDefault="00734A3C" w:rsidP="00C3207F">
            <w:pPr>
              <w:jc w:val="both"/>
            </w:pPr>
          </w:p>
          <w:tbl>
            <w:tblPr>
              <w:tblW w:w="7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800"/>
              <w:gridCol w:w="954"/>
              <w:gridCol w:w="4156"/>
              <w:gridCol w:w="354"/>
            </w:tblGrid>
            <w:tr w:rsidR="00734A3C" w:rsidRPr="00CA0ACD" w:rsidTr="002E7C5D">
              <w:trPr>
                <w:gridAfter w:val="1"/>
                <w:wAfter w:w="360" w:type="dxa"/>
                <w:trHeight w:val="290"/>
              </w:trPr>
              <w:tc>
                <w:tcPr>
                  <w:tcW w:w="1648" w:type="dxa"/>
                  <w:shd w:val="clear" w:color="auto" w:fill="auto"/>
                  <w:noWrap/>
                  <w:vAlign w:val="bottom"/>
                  <w:hideMark/>
                </w:tcPr>
                <w:p w:rsidR="00734A3C" w:rsidRPr="00CA0ACD" w:rsidRDefault="00734A3C" w:rsidP="00CA0ACD">
                  <w:pPr>
                    <w:rPr>
                      <w:rFonts w:ascii="Calibri" w:eastAsia="Times New Roman" w:hAnsi="Calibri" w:cs="Times New Roman"/>
                      <w:b/>
                      <w:bCs/>
                      <w:color w:val="000000"/>
                      <w:lang w:eastAsia="en-GB"/>
                    </w:rPr>
                  </w:pPr>
                  <w:bookmarkStart w:id="1" w:name="RANGE!A1:D5"/>
                  <w:r w:rsidRPr="00CA0ACD">
                    <w:rPr>
                      <w:rFonts w:ascii="Calibri" w:eastAsia="Times New Roman" w:hAnsi="Calibri" w:cs="Times New Roman"/>
                      <w:b/>
                      <w:bCs/>
                      <w:color w:val="000000"/>
                      <w:lang w:eastAsia="en-GB"/>
                    </w:rPr>
                    <w:t>REFVAL</w:t>
                  </w:r>
                  <w:bookmarkEnd w:id="1"/>
                </w:p>
              </w:tc>
              <w:tc>
                <w:tcPr>
                  <w:tcW w:w="830" w:type="dxa"/>
                  <w:shd w:val="clear" w:color="auto" w:fill="auto"/>
                  <w:noWrap/>
                  <w:vAlign w:val="bottom"/>
                  <w:hideMark/>
                </w:tcPr>
                <w:p w:rsidR="00734A3C" w:rsidRPr="00CA0ACD" w:rsidRDefault="00734A3C" w:rsidP="00CA0ACD">
                  <w:pPr>
                    <w:rPr>
                      <w:rFonts w:ascii="Calibri" w:eastAsia="Times New Roman" w:hAnsi="Calibri" w:cs="Times New Roman"/>
                      <w:b/>
                      <w:bCs/>
                      <w:color w:val="000000"/>
                      <w:lang w:eastAsia="en-GB"/>
                    </w:rPr>
                  </w:pPr>
                  <w:r w:rsidRPr="00CA0ACD">
                    <w:rPr>
                      <w:rFonts w:ascii="Calibri" w:eastAsia="Times New Roman" w:hAnsi="Calibri" w:cs="Times New Roman"/>
                      <w:b/>
                      <w:bCs/>
                      <w:color w:val="000000"/>
                      <w:lang w:eastAsia="en-GB"/>
                    </w:rPr>
                    <w:t>Total Units</w:t>
                  </w:r>
                </w:p>
              </w:tc>
              <w:tc>
                <w:tcPr>
                  <w:tcW w:w="993" w:type="dxa"/>
                  <w:shd w:val="clear" w:color="auto" w:fill="auto"/>
                  <w:noWrap/>
                  <w:vAlign w:val="bottom"/>
                  <w:hideMark/>
                </w:tcPr>
                <w:p w:rsidR="00734A3C" w:rsidRPr="00CA0ACD" w:rsidRDefault="00734A3C" w:rsidP="00CA0ACD">
                  <w:pPr>
                    <w:rPr>
                      <w:rFonts w:ascii="Calibri" w:eastAsia="Times New Roman" w:hAnsi="Calibri" w:cs="Times New Roman"/>
                      <w:b/>
                      <w:bCs/>
                      <w:color w:val="000000"/>
                      <w:lang w:eastAsia="en-GB"/>
                    </w:rPr>
                  </w:pPr>
                  <w:r w:rsidRPr="00CA0ACD">
                    <w:rPr>
                      <w:rFonts w:ascii="Calibri" w:eastAsia="Times New Roman" w:hAnsi="Calibri" w:cs="Times New Roman"/>
                      <w:b/>
                      <w:bCs/>
                      <w:color w:val="000000"/>
                      <w:lang w:eastAsia="en-GB"/>
                    </w:rPr>
                    <w:t>Policy target AH</w:t>
                  </w:r>
                </w:p>
              </w:tc>
              <w:tc>
                <w:tcPr>
                  <w:tcW w:w="4368" w:type="dxa"/>
                  <w:shd w:val="clear" w:color="auto" w:fill="auto"/>
                  <w:noWrap/>
                  <w:vAlign w:val="bottom"/>
                  <w:hideMark/>
                </w:tcPr>
                <w:p w:rsidR="00734A3C" w:rsidRPr="00CA0ACD" w:rsidRDefault="00734A3C" w:rsidP="00CA0ACD">
                  <w:pPr>
                    <w:rPr>
                      <w:rFonts w:ascii="Calibri" w:eastAsia="Times New Roman" w:hAnsi="Calibri" w:cs="Times New Roman"/>
                      <w:b/>
                      <w:bCs/>
                      <w:color w:val="000000"/>
                      <w:lang w:eastAsia="en-GB"/>
                    </w:rPr>
                  </w:pPr>
                  <w:r w:rsidRPr="00CA0ACD">
                    <w:rPr>
                      <w:rFonts w:ascii="Calibri" w:eastAsia="Times New Roman" w:hAnsi="Calibri" w:cs="Times New Roman"/>
                      <w:b/>
                      <w:bCs/>
                      <w:color w:val="000000"/>
                      <w:lang w:eastAsia="en-GB"/>
                    </w:rPr>
                    <w:t xml:space="preserve">Commentary </w:t>
                  </w:r>
                </w:p>
              </w:tc>
            </w:tr>
            <w:tr w:rsidR="00734A3C" w:rsidRPr="00CA0ACD" w:rsidTr="002E7C5D">
              <w:trPr>
                <w:gridAfter w:val="1"/>
                <w:wAfter w:w="360" w:type="dxa"/>
                <w:trHeight w:val="980"/>
              </w:trPr>
              <w:tc>
                <w:tcPr>
                  <w:tcW w:w="1648" w:type="dxa"/>
                  <w:shd w:val="clear" w:color="auto" w:fill="auto"/>
                  <w:noWrap/>
                  <w:hideMark/>
                </w:tcPr>
                <w:p w:rsidR="00734A3C" w:rsidRPr="00CA0ACD" w:rsidRDefault="00787588" w:rsidP="00CA0ACD">
                  <w:pPr>
                    <w:rPr>
                      <w:rFonts w:ascii="Calibri" w:eastAsia="Times New Roman" w:hAnsi="Calibri" w:cs="Times New Roman"/>
                      <w:color w:val="000000"/>
                      <w:lang w:eastAsia="en-GB"/>
                    </w:rPr>
                  </w:pPr>
                  <w:r w:rsidRPr="00787588">
                    <w:rPr>
                      <w:rFonts w:ascii="Calibri" w:eastAsia="Times New Roman" w:hAnsi="Calibri" w:cs="Times New Roman"/>
                      <w:color w:val="000000"/>
                      <w:lang w:eastAsia="en-GB"/>
                    </w:rPr>
                    <w:t>15/12263/FUL</w:t>
                  </w:r>
                </w:p>
              </w:tc>
              <w:tc>
                <w:tcPr>
                  <w:tcW w:w="830"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93"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368" w:type="dxa"/>
                  <w:shd w:val="clear" w:color="auto" w:fill="auto"/>
                  <w:hideMark/>
                </w:tcPr>
                <w:p w:rsidR="00734A3C" w:rsidRPr="00CA0ACD" w:rsidRDefault="002B37C5" w:rsidP="00CA0AC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affordable housing built on site. </w:t>
                  </w:r>
                  <w:r w:rsidR="00185083">
                    <w:rPr>
                      <w:rFonts w:ascii="Calibri" w:eastAsia="Times New Roman" w:hAnsi="Calibri" w:cs="Times New Roman"/>
                      <w:color w:val="000000"/>
                      <w:lang w:eastAsia="en-GB"/>
                    </w:rPr>
                    <w:t>No commuted sum</w:t>
                  </w:r>
                </w:p>
              </w:tc>
            </w:tr>
            <w:tr w:rsidR="00734A3C" w:rsidRPr="00CA0ACD" w:rsidTr="002E7C5D">
              <w:trPr>
                <w:trHeight w:val="920"/>
              </w:trPr>
              <w:tc>
                <w:tcPr>
                  <w:tcW w:w="1648" w:type="dxa"/>
                  <w:shd w:val="clear" w:color="auto" w:fill="auto"/>
                  <w:noWrap/>
                  <w:hideMark/>
                </w:tcPr>
                <w:p w:rsidR="00734A3C" w:rsidRPr="00CA0ACD" w:rsidRDefault="00787588" w:rsidP="00CA0ACD">
                  <w:pPr>
                    <w:rPr>
                      <w:rFonts w:ascii="Calibri" w:eastAsia="Times New Roman" w:hAnsi="Calibri" w:cs="Times New Roman"/>
                      <w:color w:val="000000"/>
                      <w:lang w:eastAsia="en-GB"/>
                    </w:rPr>
                  </w:pPr>
                  <w:r w:rsidRPr="00787588">
                    <w:rPr>
                      <w:rFonts w:ascii="Calibri" w:eastAsia="Times New Roman" w:hAnsi="Calibri" w:cs="Times New Roman"/>
                      <w:color w:val="000000"/>
                      <w:lang w:eastAsia="en-GB"/>
                    </w:rPr>
                    <w:t>16/13266/FUL</w:t>
                  </w:r>
                </w:p>
              </w:tc>
              <w:tc>
                <w:tcPr>
                  <w:tcW w:w="830"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993"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368" w:type="dxa"/>
                  <w:shd w:val="clear" w:color="auto" w:fill="auto"/>
                  <w:hideMark/>
                </w:tcPr>
                <w:p w:rsidR="00185083" w:rsidRDefault="002B37C5" w:rsidP="00CA0AC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affordable housing built on site. </w:t>
                  </w:r>
                  <w:r w:rsidR="00185083">
                    <w:rPr>
                      <w:rFonts w:ascii="Calibri" w:eastAsia="Times New Roman" w:hAnsi="Calibri" w:cs="Times New Roman"/>
                      <w:color w:val="000000"/>
                      <w:lang w:eastAsia="en-GB"/>
                    </w:rPr>
                    <w:t>Commuted sum of £25,000</w:t>
                  </w:r>
                </w:p>
                <w:p w:rsidR="00734A3C" w:rsidRPr="00185083" w:rsidRDefault="00734A3C" w:rsidP="00185083">
                  <w:pPr>
                    <w:rPr>
                      <w:rFonts w:ascii="Calibri" w:eastAsia="Times New Roman" w:hAnsi="Calibri" w:cs="Times New Roman"/>
                      <w:lang w:eastAsia="en-GB"/>
                    </w:rPr>
                  </w:pPr>
                </w:p>
              </w:tc>
              <w:tc>
                <w:tcPr>
                  <w:tcW w:w="360" w:type="dxa"/>
                </w:tcPr>
                <w:p w:rsidR="00734A3C" w:rsidRPr="00CA0ACD" w:rsidRDefault="00185083">
                  <w:r>
                    <w:tab/>
                  </w:r>
                </w:p>
              </w:tc>
            </w:tr>
            <w:tr w:rsidR="00734A3C" w:rsidRPr="00CA0ACD" w:rsidTr="002E7C5D">
              <w:trPr>
                <w:gridAfter w:val="1"/>
                <w:wAfter w:w="360" w:type="dxa"/>
                <w:trHeight w:val="1430"/>
              </w:trPr>
              <w:tc>
                <w:tcPr>
                  <w:tcW w:w="1648" w:type="dxa"/>
                  <w:shd w:val="clear" w:color="auto" w:fill="auto"/>
                  <w:noWrap/>
                  <w:hideMark/>
                </w:tcPr>
                <w:p w:rsidR="00734A3C" w:rsidRPr="00CA0ACD" w:rsidRDefault="00787588" w:rsidP="00CA0ACD">
                  <w:pPr>
                    <w:rPr>
                      <w:rFonts w:ascii="Calibri" w:eastAsia="Times New Roman" w:hAnsi="Calibri" w:cs="Times New Roman"/>
                      <w:color w:val="000000"/>
                      <w:lang w:eastAsia="en-GB"/>
                    </w:rPr>
                  </w:pPr>
                  <w:r w:rsidRPr="00787588">
                    <w:rPr>
                      <w:rFonts w:ascii="Calibri" w:eastAsia="Times New Roman" w:hAnsi="Calibri" w:cs="Times New Roman"/>
                      <w:color w:val="000000"/>
                      <w:lang w:eastAsia="en-GB"/>
                    </w:rPr>
                    <w:lastRenderedPageBreak/>
                    <w:t>15/12752/FUL</w:t>
                  </w:r>
                </w:p>
              </w:tc>
              <w:tc>
                <w:tcPr>
                  <w:tcW w:w="830"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993"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368" w:type="dxa"/>
                  <w:shd w:val="clear" w:color="auto" w:fill="auto"/>
                  <w:hideMark/>
                </w:tcPr>
                <w:p w:rsidR="00734A3C" w:rsidRPr="00CA0ACD" w:rsidRDefault="002B37C5" w:rsidP="00CA0AC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affordable housing built on site. </w:t>
                  </w:r>
                  <w:r w:rsidR="00185083">
                    <w:rPr>
                      <w:rFonts w:ascii="Calibri" w:eastAsia="Times New Roman" w:hAnsi="Calibri" w:cs="Times New Roman"/>
                      <w:color w:val="000000"/>
                      <w:lang w:eastAsia="en-GB"/>
                    </w:rPr>
                    <w:t>No commuted sum</w:t>
                  </w:r>
                </w:p>
              </w:tc>
            </w:tr>
            <w:tr w:rsidR="00734A3C" w:rsidRPr="00CA0ACD" w:rsidTr="002E7C5D">
              <w:trPr>
                <w:gridAfter w:val="1"/>
                <w:wAfter w:w="360" w:type="dxa"/>
                <w:trHeight w:val="1440"/>
              </w:trPr>
              <w:tc>
                <w:tcPr>
                  <w:tcW w:w="1648" w:type="dxa"/>
                  <w:shd w:val="clear" w:color="auto" w:fill="auto"/>
                  <w:noWrap/>
                  <w:hideMark/>
                </w:tcPr>
                <w:p w:rsidR="00734A3C" w:rsidRPr="00CA0ACD" w:rsidRDefault="00787588" w:rsidP="00CA0ACD">
                  <w:pPr>
                    <w:rPr>
                      <w:rFonts w:ascii="Calibri" w:eastAsia="Times New Roman" w:hAnsi="Calibri" w:cs="Times New Roman"/>
                      <w:color w:val="000000"/>
                      <w:lang w:eastAsia="en-GB"/>
                    </w:rPr>
                  </w:pPr>
                  <w:r w:rsidRPr="00787588">
                    <w:rPr>
                      <w:rFonts w:ascii="Calibri" w:eastAsia="Times New Roman" w:hAnsi="Calibri" w:cs="Times New Roman"/>
                      <w:color w:val="000000"/>
                      <w:lang w:eastAsia="en-GB"/>
                    </w:rPr>
                    <w:t>16/14091/FUL</w:t>
                  </w:r>
                </w:p>
              </w:tc>
              <w:tc>
                <w:tcPr>
                  <w:tcW w:w="830" w:type="dxa"/>
                  <w:shd w:val="clear" w:color="auto" w:fill="auto"/>
                  <w:noWrap/>
                  <w:hideMark/>
                </w:tcPr>
                <w:p w:rsidR="00734A3C" w:rsidRPr="00CA0ACD" w:rsidRDefault="00787588"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993" w:type="dxa"/>
                  <w:shd w:val="clear" w:color="auto" w:fill="auto"/>
                  <w:noWrap/>
                  <w:hideMark/>
                </w:tcPr>
                <w:p w:rsidR="00734A3C" w:rsidRPr="00CA0ACD" w:rsidRDefault="00185083"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368" w:type="dxa"/>
                  <w:shd w:val="clear" w:color="auto" w:fill="auto"/>
                  <w:hideMark/>
                </w:tcPr>
                <w:p w:rsidR="00734A3C" w:rsidRPr="00CA0ACD" w:rsidRDefault="002B37C5" w:rsidP="0078758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 affordable housing built on site. </w:t>
                  </w:r>
                  <w:r w:rsidR="00185083">
                    <w:rPr>
                      <w:rFonts w:ascii="Calibri" w:eastAsia="Times New Roman" w:hAnsi="Calibri" w:cs="Times New Roman"/>
                      <w:color w:val="000000"/>
                      <w:lang w:eastAsia="en-GB"/>
                    </w:rPr>
                    <w:t>No commuted sum</w:t>
                  </w:r>
                </w:p>
              </w:tc>
            </w:tr>
            <w:tr w:rsidR="002B37C5" w:rsidRPr="00CA0ACD" w:rsidTr="002E7C5D">
              <w:trPr>
                <w:gridAfter w:val="1"/>
                <w:wAfter w:w="360" w:type="dxa"/>
                <w:trHeight w:val="1440"/>
              </w:trPr>
              <w:tc>
                <w:tcPr>
                  <w:tcW w:w="1648" w:type="dxa"/>
                  <w:shd w:val="clear" w:color="auto" w:fill="auto"/>
                  <w:noWrap/>
                </w:tcPr>
                <w:p w:rsidR="002B37C5" w:rsidRPr="00787588" w:rsidRDefault="002B37C5" w:rsidP="00CA0ACD">
                  <w:pPr>
                    <w:rPr>
                      <w:rFonts w:ascii="Calibri" w:eastAsia="Times New Roman" w:hAnsi="Calibri" w:cs="Times New Roman"/>
                      <w:color w:val="000000"/>
                      <w:lang w:eastAsia="en-GB"/>
                    </w:rPr>
                  </w:pPr>
                  <w:r w:rsidRPr="002B37C5">
                    <w:rPr>
                      <w:rFonts w:ascii="Calibri" w:eastAsia="Times New Roman" w:hAnsi="Calibri" w:cs="Times New Roman"/>
                      <w:color w:val="000000"/>
                      <w:lang w:eastAsia="en-GB"/>
                    </w:rPr>
                    <w:t>12/08575/OUT</w:t>
                  </w:r>
                </w:p>
              </w:tc>
              <w:tc>
                <w:tcPr>
                  <w:tcW w:w="830" w:type="dxa"/>
                  <w:shd w:val="clear" w:color="auto" w:fill="auto"/>
                  <w:noWrap/>
                </w:tcPr>
                <w:p w:rsidR="002B37C5" w:rsidRDefault="002B37C5"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 (14 of which are AH)</w:t>
                  </w:r>
                </w:p>
              </w:tc>
              <w:tc>
                <w:tcPr>
                  <w:tcW w:w="993" w:type="dxa"/>
                  <w:shd w:val="clear" w:color="auto" w:fill="auto"/>
                  <w:noWrap/>
                </w:tcPr>
                <w:p w:rsidR="002B37C5" w:rsidRDefault="002B37C5"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20.4</w:t>
                  </w:r>
                </w:p>
              </w:tc>
              <w:tc>
                <w:tcPr>
                  <w:tcW w:w="4368" w:type="dxa"/>
                  <w:shd w:val="clear" w:color="auto" w:fill="auto"/>
                </w:tcPr>
                <w:p w:rsidR="002B37C5" w:rsidRDefault="002B37C5" w:rsidP="00787588">
                  <w:pPr>
                    <w:rPr>
                      <w:rFonts w:ascii="Calibri" w:eastAsia="Times New Roman" w:hAnsi="Calibri" w:cs="Times New Roman"/>
                      <w:color w:val="000000"/>
                      <w:lang w:eastAsia="en-GB"/>
                    </w:rPr>
                  </w:pPr>
                  <w:r>
                    <w:rPr>
                      <w:rFonts w:ascii="Calibri" w:eastAsia="Times New Roman" w:hAnsi="Calibri" w:cs="Times New Roman"/>
                      <w:color w:val="000000"/>
                      <w:lang w:eastAsia="en-GB"/>
                    </w:rPr>
                    <w:t>2/3 on site provision and 1/3 commuted sum</w:t>
                  </w:r>
                  <w:r w:rsidR="00C96224">
                    <w:rPr>
                      <w:rFonts w:ascii="Calibri" w:eastAsia="Times New Roman" w:hAnsi="Calibri" w:cs="Times New Roman"/>
                      <w:color w:val="000000"/>
                      <w:lang w:eastAsia="en-GB"/>
                    </w:rPr>
                    <w:t xml:space="preserve">. No figure provided as site at Outline stage. </w:t>
                  </w:r>
                </w:p>
              </w:tc>
            </w:tr>
            <w:tr w:rsidR="0045071A" w:rsidRPr="00CA0ACD" w:rsidTr="002E7C5D">
              <w:trPr>
                <w:trHeight w:val="1440"/>
              </w:trPr>
              <w:tc>
                <w:tcPr>
                  <w:tcW w:w="1648" w:type="dxa"/>
                  <w:shd w:val="clear" w:color="auto" w:fill="auto"/>
                  <w:noWrap/>
                </w:tcPr>
                <w:p w:rsidR="0045071A" w:rsidRPr="002B37C5" w:rsidRDefault="00C96224" w:rsidP="0045071A">
                  <w:pPr>
                    <w:rPr>
                      <w:rFonts w:ascii="Calibri" w:eastAsia="Times New Roman" w:hAnsi="Calibri" w:cs="Times New Roman"/>
                      <w:color w:val="000000"/>
                      <w:lang w:eastAsia="en-GB"/>
                    </w:rPr>
                  </w:pPr>
                  <w:r w:rsidRPr="00C96224">
                    <w:rPr>
                      <w:rFonts w:ascii="Calibri" w:eastAsia="Times New Roman" w:hAnsi="Calibri" w:cs="Times New Roman"/>
                      <w:color w:val="000000"/>
                      <w:lang w:eastAsia="en-GB"/>
                    </w:rPr>
                    <w:t>15/11904/FUL</w:t>
                  </w:r>
                </w:p>
              </w:tc>
              <w:tc>
                <w:tcPr>
                  <w:tcW w:w="830" w:type="dxa"/>
                  <w:shd w:val="clear" w:color="auto" w:fill="auto"/>
                  <w:noWrap/>
                </w:tcPr>
                <w:p w:rsidR="0045071A" w:rsidRDefault="00C96224"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993" w:type="dxa"/>
                  <w:shd w:val="clear" w:color="auto" w:fill="auto"/>
                  <w:noWrap/>
                </w:tcPr>
                <w:p w:rsidR="0045071A" w:rsidRDefault="00C96224"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4368" w:type="dxa"/>
                  <w:shd w:val="clear" w:color="auto" w:fill="auto"/>
                </w:tcPr>
                <w:p w:rsidR="00C96224" w:rsidRDefault="00C96224" w:rsidP="0078758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 Affordable Housing Units provided on site. </w:t>
                  </w:r>
                </w:p>
                <w:p w:rsidR="0045071A" w:rsidRPr="00C96224" w:rsidRDefault="00C96224" w:rsidP="00C96224">
                  <w:pPr>
                    <w:rPr>
                      <w:rFonts w:ascii="Calibri" w:eastAsia="Times New Roman" w:hAnsi="Calibri" w:cs="Times New Roman"/>
                      <w:lang w:eastAsia="en-GB"/>
                    </w:rPr>
                  </w:pPr>
                  <w:r>
                    <w:rPr>
                      <w:rFonts w:ascii="Calibri" w:eastAsia="Times New Roman" w:hAnsi="Calibri" w:cs="Times New Roman"/>
                      <w:lang w:eastAsia="en-GB"/>
                    </w:rPr>
                    <w:t xml:space="preserve">The sum of £41,402 to be paid to Powys County Council to develop the social and sporting facilities at Crickhowell High School. </w:t>
                  </w:r>
                </w:p>
              </w:tc>
              <w:tc>
                <w:tcPr>
                  <w:tcW w:w="360" w:type="dxa"/>
                </w:tcPr>
                <w:p w:rsidR="0045071A" w:rsidRPr="00CA0ACD" w:rsidRDefault="00C96224">
                  <w:r>
                    <w:tab/>
                  </w:r>
                </w:p>
              </w:tc>
            </w:tr>
            <w:tr w:rsidR="00C96224" w:rsidTr="002E7C5D">
              <w:trPr>
                <w:gridAfter w:val="1"/>
                <w:wAfter w:w="360" w:type="dxa"/>
                <w:trHeight w:val="1440"/>
              </w:trPr>
              <w:tc>
                <w:tcPr>
                  <w:tcW w:w="1648" w:type="dxa"/>
                  <w:shd w:val="clear" w:color="auto" w:fill="auto"/>
                  <w:noWrap/>
                </w:tcPr>
                <w:p w:rsidR="00C96224" w:rsidRPr="00C96224" w:rsidRDefault="00C96224" w:rsidP="0045071A">
                  <w:pPr>
                    <w:rPr>
                      <w:rFonts w:ascii="Calibri" w:eastAsia="Times New Roman" w:hAnsi="Calibri" w:cs="Times New Roman"/>
                      <w:color w:val="000000"/>
                      <w:lang w:eastAsia="en-GB"/>
                    </w:rPr>
                  </w:pPr>
                  <w:r w:rsidRPr="00C96224">
                    <w:rPr>
                      <w:rFonts w:ascii="Calibri" w:eastAsia="Times New Roman" w:hAnsi="Calibri" w:cs="Times New Roman"/>
                      <w:color w:val="000000"/>
                      <w:lang w:eastAsia="en-GB"/>
                    </w:rPr>
                    <w:t>15/12262/OUT</w:t>
                  </w:r>
                </w:p>
              </w:tc>
              <w:tc>
                <w:tcPr>
                  <w:tcW w:w="830" w:type="dxa"/>
                  <w:shd w:val="clear" w:color="auto" w:fill="auto"/>
                  <w:noWrap/>
                </w:tcPr>
                <w:p w:rsidR="00C96224" w:rsidRDefault="00C96224"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993" w:type="dxa"/>
                  <w:shd w:val="clear" w:color="auto" w:fill="auto"/>
                  <w:noWrap/>
                </w:tcPr>
                <w:p w:rsidR="00C96224" w:rsidRDefault="00C96224" w:rsidP="00CA0AC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4368" w:type="dxa"/>
                  <w:shd w:val="clear" w:color="auto" w:fill="auto"/>
                </w:tcPr>
                <w:p w:rsidR="00C96224" w:rsidRDefault="00C96224" w:rsidP="00787588">
                  <w:pPr>
                    <w:rPr>
                      <w:rFonts w:ascii="Calibri" w:eastAsia="Times New Roman" w:hAnsi="Calibri" w:cs="Times New Roman"/>
                      <w:color w:val="000000"/>
                      <w:lang w:eastAsia="en-GB"/>
                    </w:rPr>
                  </w:pPr>
                  <w:r>
                    <w:rPr>
                      <w:rFonts w:ascii="Calibri" w:eastAsia="Times New Roman" w:hAnsi="Calibri" w:cs="Times New Roman"/>
                      <w:color w:val="000000"/>
                      <w:lang w:eastAsia="en-GB"/>
                    </w:rPr>
                    <w:t>4 Affordable Units provided on site. Loss of 13 Affordable units.</w:t>
                  </w:r>
                </w:p>
              </w:tc>
            </w:tr>
          </w:tbl>
          <w:p w:rsidR="00734A3C" w:rsidRPr="0016310D" w:rsidRDefault="00734A3C" w:rsidP="00C3207F">
            <w:pPr>
              <w:jc w:val="both"/>
            </w:pP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auto"/>
          </w:tcPr>
          <w:p w:rsidR="00734A3C" w:rsidRDefault="00734A3C" w:rsidP="00A34D80">
            <w:pPr>
              <w:jc w:val="both"/>
            </w:pPr>
            <w:r w:rsidRPr="00FE1884">
              <w:rPr>
                <w:b/>
              </w:rPr>
              <w:t>Recommendation</w:t>
            </w:r>
            <w:r>
              <w:t>:</w:t>
            </w:r>
          </w:p>
          <w:p w:rsidR="00734A3C" w:rsidRPr="0016310D" w:rsidRDefault="00734A3C" w:rsidP="00A34D80">
            <w:pPr>
              <w:jc w:val="both"/>
            </w:pPr>
            <w:r>
              <w:t>The indicator will continue to be monitored.</w:t>
            </w:r>
          </w:p>
        </w:tc>
      </w:tr>
    </w:tbl>
    <w:p w:rsidR="00046C8E" w:rsidRDefault="00046C8E" w:rsidP="00F4092A">
      <w:pPr>
        <w:jc w:val="both"/>
        <w:rPr>
          <w:b/>
          <w:i/>
        </w:rPr>
      </w:pPr>
    </w:p>
    <w:p w:rsidR="001451A1" w:rsidRDefault="001451A1" w:rsidP="00F4092A">
      <w:pPr>
        <w:jc w:val="both"/>
        <w:rPr>
          <w:b/>
        </w:rPr>
      </w:pPr>
    </w:p>
    <w:p w:rsidR="001451A1" w:rsidRDefault="001451A1" w:rsidP="00F4092A">
      <w:pPr>
        <w:jc w:val="both"/>
        <w:rPr>
          <w:b/>
        </w:rPr>
      </w:pPr>
    </w:p>
    <w:p w:rsidR="001451A1" w:rsidRDefault="001451A1" w:rsidP="00F4092A">
      <w:pPr>
        <w:jc w:val="both"/>
        <w:rPr>
          <w:b/>
        </w:rPr>
      </w:pPr>
    </w:p>
    <w:p w:rsidR="00BA1CDB" w:rsidRPr="00FA730F" w:rsidRDefault="00FA730F" w:rsidP="00F4092A">
      <w:pPr>
        <w:jc w:val="both"/>
        <w:rPr>
          <w:b/>
        </w:rPr>
      </w:pPr>
      <w:r>
        <w:rPr>
          <w:b/>
        </w:rPr>
        <w:t>Figure 10</w:t>
      </w:r>
    </w:p>
    <w:tbl>
      <w:tblPr>
        <w:tblStyle w:val="TableGrid"/>
        <w:tblW w:w="0" w:type="auto"/>
        <w:tblLook w:val="04A0" w:firstRow="1" w:lastRow="0" w:firstColumn="1" w:lastColumn="0" w:noHBand="0" w:noVBand="1"/>
      </w:tblPr>
      <w:tblGrid>
        <w:gridCol w:w="1516"/>
        <w:gridCol w:w="7500"/>
      </w:tblGrid>
      <w:tr w:rsidR="00F4092A" w:rsidRPr="009819AC" w:rsidTr="00734A3C">
        <w:tc>
          <w:tcPr>
            <w:tcW w:w="9016" w:type="dxa"/>
            <w:gridSpan w:val="2"/>
            <w:shd w:val="clear" w:color="auto" w:fill="4BACC6" w:themeFill="accent5"/>
          </w:tcPr>
          <w:p w:rsidR="00F4092A" w:rsidRPr="00A42D22" w:rsidRDefault="00F4092A" w:rsidP="009819AC">
            <w:pPr>
              <w:jc w:val="both"/>
            </w:pPr>
            <w:r w:rsidRPr="00A42D22">
              <w:rPr>
                <w:b/>
              </w:rPr>
              <w:lastRenderedPageBreak/>
              <w:t>Number of Affordable windfall dwellings</w:t>
            </w:r>
            <w:r w:rsidR="009D75FB" w:rsidRPr="00A42D22">
              <w:rPr>
                <w:b/>
              </w:rPr>
              <w:t xml:space="preserve"> </w:t>
            </w:r>
          </w:p>
        </w:tc>
      </w:tr>
      <w:tr w:rsidR="00734A3C" w:rsidRPr="009819AC" w:rsidTr="008E4DD7">
        <w:tc>
          <w:tcPr>
            <w:tcW w:w="1516" w:type="dxa"/>
            <w:vMerge w:val="restart"/>
            <w:shd w:val="clear" w:color="auto" w:fill="00B050"/>
          </w:tcPr>
          <w:p w:rsidR="00734A3C" w:rsidRDefault="00734A3C" w:rsidP="00FE1884">
            <w:pPr>
              <w:jc w:val="center"/>
              <w:rPr>
                <w:b/>
              </w:rPr>
            </w:pPr>
            <w:r>
              <w:rPr>
                <w:b/>
              </w:rPr>
              <w:t>Continue Monitoring</w:t>
            </w:r>
          </w:p>
        </w:tc>
        <w:tc>
          <w:tcPr>
            <w:tcW w:w="7500" w:type="dxa"/>
            <w:shd w:val="clear" w:color="auto" w:fill="00B050"/>
          </w:tcPr>
          <w:p w:rsidR="0038265C" w:rsidRPr="008E4DD7" w:rsidRDefault="0038265C" w:rsidP="0038265C">
            <w:pPr>
              <w:jc w:val="both"/>
              <w:rPr>
                <w:b/>
              </w:rPr>
            </w:pPr>
            <w:r w:rsidRPr="008E4DD7">
              <w:rPr>
                <w:b/>
              </w:rPr>
              <w:t>Third Monitoring Period</w:t>
            </w:r>
          </w:p>
          <w:p w:rsidR="0038265C" w:rsidRPr="0038265C" w:rsidRDefault="000A6440" w:rsidP="008E4DD7">
            <w:pPr>
              <w:jc w:val="both"/>
            </w:pPr>
            <w:r w:rsidRPr="008E4DD7">
              <w:t>1</w:t>
            </w:r>
            <w:r w:rsidR="00414747" w:rsidRPr="008E4DD7">
              <w:t>3</w:t>
            </w:r>
            <w:r w:rsidR="0038265C" w:rsidRPr="008E4DD7">
              <w:t xml:space="preserve"> Affordable Windfall dwellings</w:t>
            </w:r>
            <w:r w:rsidR="008E4DD7">
              <w:t xml:space="preserve"> </w:t>
            </w:r>
          </w:p>
        </w:tc>
      </w:tr>
      <w:tr w:rsidR="00734A3C" w:rsidRPr="009819AC" w:rsidTr="008E4DD7">
        <w:tc>
          <w:tcPr>
            <w:tcW w:w="1516" w:type="dxa"/>
            <w:vMerge/>
            <w:shd w:val="clear" w:color="auto" w:fill="00B050"/>
          </w:tcPr>
          <w:p w:rsidR="00734A3C" w:rsidRPr="009819AC" w:rsidRDefault="00734A3C" w:rsidP="00FE1884">
            <w:pPr>
              <w:jc w:val="center"/>
              <w:rPr>
                <w:b/>
              </w:rPr>
            </w:pPr>
          </w:p>
        </w:tc>
        <w:tc>
          <w:tcPr>
            <w:tcW w:w="7500" w:type="dxa"/>
            <w:shd w:val="clear" w:color="auto" w:fill="BFBFBF" w:themeFill="background1" w:themeFillShade="BF"/>
          </w:tcPr>
          <w:p w:rsidR="00734A3C" w:rsidRPr="00734A3C" w:rsidRDefault="00734A3C" w:rsidP="009819AC">
            <w:pPr>
              <w:jc w:val="both"/>
              <w:rPr>
                <w:b/>
              </w:rPr>
            </w:pPr>
            <w:r w:rsidRPr="00734A3C">
              <w:rPr>
                <w:b/>
              </w:rPr>
              <w:t>Second Monitoring Period</w:t>
            </w:r>
          </w:p>
          <w:p w:rsidR="00734A3C" w:rsidRPr="004046A6" w:rsidRDefault="00734A3C" w:rsidP="009819AC">
            <w:pPr>
              <w:jc w:val="both"/>
            </w:pPr>
            <w:r w:rsidRPr="004046A6">
              <w:t>29 Affordable Windfall dwellings</w:t>
            </w:r>
          </w:p>
          <w:p w:rsidR="00734A3C" w:rsidRPr="00FD4E77" w:rsidRDefault="00734A3C" w:rsidP="009819AC">
            <w:pPr>
              <w:jc w:val="both"/>
            </w:pP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shd w:val="clear" w:color="auto" w:fill="D9D9D9" w:themeFill="background1" w:themeFillShade="D9"/>
          </w:tcPr>
          <w:p w:rsidR="00734A3C" w:rsidRDefault="00734A3C" w:rsidP="00F4092A">
            <w:pPr>
              <w:jc w:val="both"/>
              <w:rPr>
                <w:b/>
              </w:rPr>
            </w:pPr>
            <w:r>
              <w:rPr>
                <w:b/>
              </w:rPr>
              <w:t>First Monitoring Period:</w:t>
            </w:r>
          </w:p>
          <w:p w:rsidR="00734A3C" w:rsidRDefault="00734A3C" w:rsidP="00F4092A">
            <w:pPr>
              <w:jc w:val="both"/>
              <w:rPr>
                <w:b/>
              </w:rPr>
            </w:pPr>
            <w:r w:rsidRPr="00FD4E77">
              <w:t>4 Affordable Windfall Dwellings</w:t>
            </w: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tcPr>
          <w:p w:rsidR="00734A3C" w:rsidRDefault="00734A3C" w:rsidP="00F4092A">
            <w:pPr>
              <w:jc w:val="both"/>
              <w:rPr>
                <w:b/>
              </w:rPr>
            </w:pPr>
            <w:r>
              <w:rPr>
                <w:b/>
              </w:rPr>
              <w:t>Comment:</w:t>
            </w:r>
          </w:p>
          <w:p w:rsidR="00734A3C" w:rsidRPr="00FD4E77" w:rsidRDefault="00734A3C" w:rsidP="004046A6">
            <w:pPr>
              <w:jc w:val="both"/>
            </w:pPr>
            <w:r w:rsidRPr="004046A6">
              <w:t>The annual target of 3 windfall Affordable Housing dwellings being granted planning permission per annum has been exceeded</w:t>
            </w:r>
            <w:r w:rsidR="008E4DD7">
              <w:t xml:space="preserve"> for three</w:t>
            </w:r>
            <w:r>
              <w:t xml:space="preserve"> consecutive years</w:t>
            </w:r>
            <w:r w:rsidRPr="004046A6">
              <w:t>.  It should be noted that an assessment will be triggered should fewer than 2 windfall Affordable Housing dwellings be granted planning permission annually for three consecutive years.</w:t>
            </w: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tcPr>
          <w:p w:rsidR="00734A3C" w:rsidRPr="00F4092A" w:rsidRDefault="00734A3C" w:rsidP="00F4092A">
            <w:pPr>
              <w:jc w:val="both"/>
              <w:rPr>
                <w:b/>
              </w:rPr>
            </w:pPr>
            <w:r w:rsidRPr="00F4092A">
              <w:rPr>
                <w:b/>
              </w:rPr>
              <w:t>Recommendation:</w:t>
            </w:r>
          </w:p>
          <w:p w:rsidR="00734A3C" w:rsidRPr="00FD4E77" w:rsidRDefault="00734A3C" w:rsidP="00F4092A">
            <w:pPr>
              <w:jc w:val="both"/>
            </w:pPr>
            <w:r w:rsidRPr="00AD5DA9">
              <w:t>The indicator will continue to be monitored.</w:t>
            </w:r>
          </w:p>
        </w:tc>
      </w:tr>
    </w:tbl>
    <w:p w:rsidR="00046C8E" w:rsidRDefault="00046C8E" w:rsidP="00F4092A">
      <w:pPr>
        <w:jc w:val="both"/>
        <w:rPr>
          <w:b/>
        </w:rPr>
      </w:pPr>
    </w:p>
    <w:p w:rsidR="00FA730F" w:rsidRPr="00A75F30" w:rsidRDefault="00FA730F" w:rsidP="00F4092A">
      <w:pPr>
        <w:jc w:val="both"/>
        <w:rPr>
          <w:b/>
        </w:rPr>
      </w:pPr>
      <w:r w:rsidRPr="00A75F30">
        <w:rPr>
          <w:b/>
        </w:rPr>
        <w:t>Figure 11</w:t>
      </w:r>
    </w:p>
    <w:tbl>
      <w:tblPr>
        <w:tblStyle w:val="TableGrid"/>
        <w:tblW w:w="0" w:type="auto"/>
        <w:tblLook w:val="04A0" w:firstRow="1" w:lastRow="0" w:firstColumn="1" w:lastColumn="0" w:noHBand="0" w:noVBand="1"/>
      </w:tblPr>
      <w:tblGrid>
        <w:gridCol w:w="1516"/>
        <w:gridCol w:w="7500"/>
      </w:tblGrid>
      <w:tr w:rsidR="00F4092A" w:rsidRPr="009819AC" w:rsidTr="00734A3C">
        <w:tc>
          <w:tcPr>
            <w:tcW w:w="9016" w:type="dxa"/>
            <w:gridSpan w:val="2"/>
            <w:shd w:val="clear" w:color="auto" w:fill="4BACC6" w:themeFill="accent5"/>
          </w:tcPr>
          <w:p w:rsidR="00F4092A" w:rsidRPr="00A42D22" w:rsidRDefault="00F4092A" w:rsidP="009819AC">
            <w:pPr>
              <w:jc w:val="both"/>
            </w:pPr>
            <w:r w:rsidRPr="00A42D22">
              <w:rPr>
                <w:b/>
              </w:rPr>
              <w:t>Number of Affordable dwellings on Exception Sites</w:t>
            </w:r>
            <w:r w:rsidR="009D75FB" w:rsidRPr="00A42D22">
              <w:rPr>
                <w:b/>
              </w:rPr>
              <w:t xml:space="preserve"> </w:t>
            </w:r>
          </w:p>
        </w:tc>
      </w:tr>
      <w:tr w:rsidR="00734A3C" w:rsidRPr="009819AC" w:rsidTr="008E4DD7">
        <w:tc>
          <w:tcPr>
            <w:tcW w:w="1516" w:type="dxa"/>
            <w:vMerge w:val="restart"/>
            <w:shd w:val="clear" w:color="auto" w:fill="00B050"/>
          </w:tcPr>
          <w:p w:rsidR="00734A3C" w:rsidRDefault="00734A3C" w:rsidP="00CF7EFD">
            <w:pPr>
              <w:jc w:val="center"/>
              <w:rPr>
                <w:b/>
              </w:rPr>
            </w:pPr>
            <w:r>
              <w:rPr>
                <w:b/>
              </w:rPr>
              <w:t>Continue Monitoring</w:t>
            </w:r>
          </w:p>
        </w:tc>
        <w:tc>
          <w:tcPr>
            <w:tcW w:w="7500" w:type="dxa"/>
            <w:shd w:val="clear" w:color="auto" w:fill="00B050"/>
          </w:tcPr>
          <w:p w:rsidR="003D4665" w:rsidRPr="00734A3C" w:rsidRDefault="003D4665" w:rsidP="003D4665">
            <w:pPr>
              <w:jc w:val="both"/>
              <w:rPr>
                <w:b/>
              </w:rPr>
            </w:pPr>
            <w:r>
              <w:rPr>
                <w:b/>
              </w:rPr>
              <w:t>Third</w:t>
            </w:r>
            <w:r w:rsidRPr="00734A3C">
              <w:rPr>
                <w:b/>
              </w:rPr>
              <w:t xml:space="preserve"> Monitoring Period</w:t>
            </w:r>
          </w:p>
          <w:p w:rsidR="003D4665" w:rsidRDefault="003D4665" w:rsidP="003D4665">
            <w:pPr>
              <w:jc w:val="both"/>
            </w:pPr>
            <w:r w:rsidRPr="00FD4E77">
              <w:t>0 Dwellings granted</w:t>
            </w:r>
            <w:r>
              <w:t xml:space="preserve"> permission on Affordable H</w:t>
            </w:r>
            <w:r w:rsidRPr="00FD4E77">
              <w:t>ousing</w:t>
            </w:r>
            <w:r>
              <w:t xml:space="preserve"> Exception</w:t>
            </w:r>
            <w:r w:rsidRPr="00FD4E77">
              <w:t xml:space="preserve"> sites.</w:t>
            </w:r>
          </w:p>
          <w:p w:rsidR="00734A3C" w:rsidRPr="00FD4E77" w:rsidRDefault="00734A3C" w:rsidP="009819AC">
            <w:pPr>
              <w:jc w:val="both"/>
            </w:pPr>
          </w:p>
        </w:tc>
      </w:tr>
      <w:tr w:rsidR="00734A3C" w:rsidRPr="009819AC" w:rsidTr="008E4DD7">
        <w:tc>
          <w:tcPr>
            <w:tcW w:w="1516" w:type="dxa"/>
            <w:vMerge/>
            <w:shd w:val="clear" w:color="auto" w:fill="00B050"/>
          </w:tcPr>
          <w:p w:rsidR="00734A3C" w:rsidRPr="009819AC" w:rsidRDefault="00734A3C" w:rsidP="00CF7EFD">
            <w:pPr>
              <w:jc w:val="center"/>
              <w:rPr>
                <w:b/>
              </w:rPr>
            </w:pPr>
          </w:p>
        </w:tc>
        <w:tc>
          <w:tcPr>
            <w:tcW w:w="7500" w:type="dxa"/>
            <w:shd w:val="clear" w:color="auto" w:fill="BFBFBF" w:themeFill="background1" w:themeFillShade="BF"/>
          </w:tcPr>
          <w:p w:rsidR="00734A3C" w:rsidRPr="00734A3C" w:rsidRDefault="00734A3C" w:rsidP="009819AC">
            <w:pPr>
              <w:jc w:val="both"/>
              <w:rPr>
                <w:b/>
              </w:rPr>
            </w:pPr>
            <w:r w:rsidRPr="00734A3C">
              <w:rPr>
                <w:b/>
              </w:rPr>
              <w:t>Second Monitoring Period</w:t>
            </w:r>
          </w:p>
          <w:p w:rsidR="00734A3C" w:rsidRDefault="00734A3C" w:rsidP="009819AC">
            <w:pPr>
              <w:jc w:val="both"/>
            </w:pPr>
            <w:r w:rsidRPr="00FD4E77">
              <w:t>0 Dwellings granted</w:t>
            </w:r>
            <w:r>
              <w:t xml:space="preserve"> permission on Affordable H</w:t>
            </w:r>
            <w:r w:rsidRPr="00FD4E77">
              <w:t>ousing</w:t>
            </w:r>
            <w:r>
              <w:t xml:space="preserve"> Exception</w:t>
            </w:r>
            <w:r w:rsidRPr="00FD4E77">
              <w:t xml:space="preserve"> sites.</w:t>
            </w:r>
          </w:p>
          <w:p w:rsidR="00734A3C" w:rsidRPr="00FD4E77" w:rsidRDefault="00734A3C" w:rsidP="009819AC">
            <w:pPr>
              <w:jc w:val="both"/>
            </w:pP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shd w:val="clear" w:color="auto" w:fill="D9D9D9" w:themeFill="background1" w:themeFillShade="D9"/>
          </w:tcPr>
          <w:p w:rsidR="00734A3C" w:rsidRDefault="00734A3C" w:rsidP="00F4092A">
            <w:pPr>
              <w:jc w:val="both"/>
              <w:rPr>
                <w:b/>
              </w:rPr>
            </w:pPr>
            <w:r>
              <w:rPr>
                <w:b/>
              </w:rPr>
              <w:t>First Monitoring Period:</w:t>
            </w:r>
          </w:p>
          <w:p w:rsidR="00734A3C" w:rsidRPr="00A75F30" w:rsidRDefault="00734A3C" w:rsidP="00F4092A">
            <w:pPr>
              <w:jc w:val="both"/>
            </w:pPr>
            <w:r w:rsidRPr="00A75F30">
              <w:t>0 Dwellings granted permission on Affordable Housing Exception sites.</w:t>
            </w: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tcPr>
          <w:p w:rsidR="00734A3C" w:rsidRDefault="00734A3C" w:rsidP="00F4092A">
            <w:pPr>
              <w:jc w:val="both"/>
              <w:rPr>
                <w:b/>
              </w:rPr>
            </w:pPr>
            <w:r>
              <w:rPr>
                <w:b/>
              </w:rPr>
              <w:t>Comment:</w:t>
            </w:r>
          </w:p>
          <w:p w:rsidR="00734A3C" w:rsidRPr="00FD4E77" w:rsidRDefault="00734A3C" w:rsidP="009819AC">
            <w:pPr>
              <w:jc w:val="both"/>
            </w:pPr>
            <w:r w:rsidRPr="00EE0B28">
              <w:t>Whilst the annual target of 4 AH dwellings being granted planning</w:t>
            </w:r>
            <w:r w:rsidRPr="00CF7EFD">
              <w:t xml:space="preserve"> permission has not been met, it should be noted that this is not as a result of the refusal of any planning application.  No ‘exception site’ applications were received during the period which, reasonably, can be considered to be beyond the control of the Authority.  Accordingly, </w:t>
            </w:r>
            <w:r>
              <w:t xml:space="preserve">given that it relates to ‘exceptional development’, </w:t>
            </w:r>
            <w:r w:rsidRPr="00CF7EFD">
              <w:t>consideration will be given to whether this indicator will be monitored in the future.</w:t>
            </w: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tcPr>
          <w:p w:rsidR="00734A3C" w:rsidRDefault="00734A3C" w:rsidP="00F4092A">
            <w:pPr>
              <w:jc w:val="both"/>
            </w:pPr>
            <w:r w:rsidRPr="00CF7EFD">
              <w:rPr>
                <w:b/>
              </w:rPr>
              <w:t>Recommendation</w:t>
            </w:r>
            <w:r>
              <w:t>:</w:t>
            </w:r>
          </w:p>
          <w:p w:rsidR="00734A3C" w:rsidRPr="00FD4E77" w:rsidRDefault="00734A3C" w:rsidP="00F4092A">
            <w:pPr>
              <w:jc w:val="both"/>
            </w:pPr>
            <w:r w:rsidRPr="00A75F30">
              <w:t>Continue monitoring but consider whether this indicator should continue to be monitored in the future.</w:t>
            </w:r>
          </w:p>
        </w:tc>
      </w:tr>
    </w:tbl>
    <w:p w:rsidR="00B05DEE" w:rsidRDefault="00B05DEE" w:rsidP="00B05DEE">
      <w:pPr>
        <w:jc w:val="both"/>
        <w:rPr>
          <w:b/>
        </w:rPr>
      </w:pPr>
    </w:p>
    <w:p w:rsidR="00461178" w:rsidRDefault="00461178" w:rsidP="00B05DEE">
      <w:pPr>
        <w:jc w:val="both"/>
        <w:rPr>
          <w:b/>
        </w:rPr>
      </w:pPr>
    </w:p>
    <w:p w:rsidR="00461178" w:rsidRPr="00F4092A" w:rsidRDefault="00461178" w:rsidP="00461178">
      <w:pPr>
        <w:jc w:val="both"/>
        <w:rPr>
          <w:b/>
        </w:rPr>
      </w:pPr>
      <w:r>
        <w:rPr>
          <w:b/>
        </w:rPr>
        <w:t>Figure 12</w:t>
      </w:r>
    </w:p>
    <w:tbl>
      <w:tblPr>
        <w:tblStyle w:val="TableGrid"/>
        <w:tblW w:w="0" w:type="auto"/>
        <w:tblLook w:val="04A0" w:firstRow="1" w:lastRow="0" w:firstColumn="1" w:lastColumn="0" w:noHBand="0" w:noVBand="1"/>
      </w:tblPr>
      <w:tblGrid>
        <w:gridCol w:w="1515"/>
        <w:gridCol w:w="7501"/>
      </w:tblGrid>
      <w:tr w:rsidR="00461178" w:rsidRPr="009819AC" w:rsidTr="005D0DA1">
        <w:tc>
          <w:tcPr>
            <w:tcW w:w="9242" w:type="dxa"/>
            <w:gridSpan w:val="2"/>
            <w:shd w:val="clear" w:color="auto" w:fill="4BACC6" w:themeFill="accent5"/>
          </w:tcPr>
          <w:p w:rsidR="00461178" w:rsidRPr="00F4092A" w:rsidRDefault="00461178" w:rsidP="005D0DA1">
            <w:pPr>
              <w:jc w:val="both"/>
              <w:rPr>
                <w:b/>
              </w:rPr>
            </w:pPr>
            <w:r w:rsidRPr="00F4092A">
              <w:rPr>
                <w:b/>
              </w:rPr>
              <w:t>Occupation of the allocated Gypsy and Traveller site</w:t>
            </w:r>
            <w:r>
              <w:rPr>
                <w:b/>
              </w:rPr>
              <w:t xml:space="preserve"> </w:t>
            </w:r>
          </w:p>
        </w:tc>
      </w:tr>
      <w:tr w:rsidR="00461178" w:rsidRPr="009819AC" w:rsidTr="00461178">
        <w:tc>
          <w:tcPr>
            <w:tcW w:w="1526" w:type="dxa"/>
            <w:vMerge w:val="restart"/>
            <w:shd w:val="clear" w:color="auto" w:fill="00B0F0"/>
          </w:tcPr>
          <w:p w:rsidR="00461178" w:rsidRPr="009819AC" w:rsidRDefault="00461178" w:rsidP="005D0DA1">
            <w:pPr>
              <w:jc w:val="center"/>
              <w:rPr>
                <w:b/>
              </w:rPr>
            </w:pPr>
            <w:r>
              <w:rPr>
                <w:b/>
              </w:rPr>
              <w:t>Completed during previous monitoring period</w:t>
            </w:r>
          </w:p>
        </w:tc>
        <w:tc>
          <w:tcPr>
            <w:tcW w:w="7716" w:type="dxa"/>
            <w:shd w:val="clear" w:color="auto" w:fill="00B0F0"/>
          </w:tcPr>
          <w:p w:rsidR="00461178" w:rsidRPr="00A67364" w:rsidRDefault="00461178" w:rsidP="005D0DA1">
            <w:pPr>
              <w:jc w:val="both"/>
            </w:pPr>
            <w:r w:rsidRPr="00A67364">
              <w:t>The allocated Gypsy and Traveller site has been developed and occupied by the family.</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F57C93" w:rsidRDefault="00461178" w:rsidP="005D0DA1">
            <w:pPr>
              <w:jc w:val="both"/>
              <w:rPr>
                <w:b/>
              </w:rPr>
            </w:pPr>
            <w:r w:rsidRPr="00F57C93">
              <w:rPr>
                <w:b/>
              </w:rPr>
              <w:t>Comment:</w:t>
            </w:r>
          </w:p>
          <w:p w:rsidR="00461178" w:rsidRPr="00F57C93" w:rsidRDefault="00461178" w:rsidP="005D0DA1">
            <w:pPr>
              <w:jc w:val="both"/>
            </w:pPr>
            <w:r w:rsidRPr="00F57C93">
              <w:t>Further to the granting of planning permission on 27</w:t>
            </w:r>
            <w:r w:rsidRPr="00F57C93">
              <w:rPr>
                <w:vertAlign w:val="superscript"/>
              </w:rPr>
              <w:t>th</w:t>
            </w:r>
            <w:r w:rsidRPr="00F57C93">
              <w:t xml:space="preserve"> March 2012 for a proposed permanent Gypsy and Traveller site 14no. pitches have been developed - 10 of which have been occupied with 4 remaining vacant.  The 4 vacant pitches within the site have been set out with boundary treatments and foundations.  These will be completed to accommodate the future needs of the family at the appropriate time.</w:t>
            </w:r>
          </w:p>
          <w:p w:rsidR="00461178" w:rsidRPr="00F57C93" w:rsidRDefault="00461178" w:rsidP="005D0DA1">
            <w:pPr>
              <w:jc w:val="both"/>
            </w:pPr>
          </w:p>
          <w:p w:rsidR="00461178" w:rsidRPr="00A67364" w:rsidRDefault="00461178" w:rsidP="0086587D">
            <w:pPr>
              <w:jc w:val="both"/>
            </w:pPr>
            <w:r w:rsidRPr="00F57C93">
              <w:t>Approximately a quarter of the allocation area has not been developed (the north western end of the site).  It is envisaged that this could accomm</w:t>
            </w:r>
            <w:r>
              <w:t>odate additional future growth.</w:t>
            </w:r>
            <w:r w:rsidR="0086587D">
              <w:t xml:space="preserve"> </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F57C93" w:rsidRDefault="00461178" w:rsidP="005D0DA1">
            <w:pPr>
              <w:jc w:val="both"/>
            </w:pPr>
            <w:r w:rsidRPr="00F57C93">
              <w:rPr>
                <w:b/>
              </w:rPr>
              <w:t>Recommendation</w:t>
            </w:r>
            <w:r w:rsidRPr="00F57C93">
              <w:t>:</w:t>
            </w:r>
          </w:p>
          <w:p w:rsidR="00461178" w:rsidRPr="00A67364" w:rsidRDefault="00461178" w:rsidP="005D0DA1">
            <w:pPr>
              <w:jc w:val="both"/>
            </w:pPr>
            <w:r w:rsidRPr="00F57C93">
              <w:t>The monitoring framework required this site to be occupied by 2017.  The site has already been developed and occupied so no further monitoring is required.</w:t>
            </w:r>
          </w:p>
        </w:tc>
      </w:tr>
    </w:tbl>
    <w:p w:rsidR="00461178" w:rsidRDefault="00461178" w:rsidP="00461178">
      <w:pPr>
        <w:jc w:val="both"/>
        <w:rPr>
          <w:b/>
        </w:rPr>
      </w:pPr>
    </w:p>
    <w:p w:rsidR="00461178" w:rsidRPr="00110829" w:rsidRDefault="00461178" w:rsidP="00461178">
      <w:pPr>
        <w:jc w:val="both"/>
        <w:rPr>
          <w:b/>
        </w:rPr>
      </w:pPr>
      <w:r>
        <w:rPr>
          <w:b/>
        </w:rPr>
        <w:t>Figure 13</w:t>
      </w:r>
    </w:p>
    <w:tbl>
      <w:tblPr>
        <w:tblStyle w:val="TableGrid"/>
        <w:tblW w:w="0" w:type="auto"/>
        <w:tblLook w:val="04A0" w:firstRow="1" w:lastRow="0" w:firstColumn="1" w:lastColumn="0" w:noHBand="0" w:noVBand="1"/>
      </w:tblPr>
      <w:tblGrid>
        <w:gridCol w:w="1515"/>
        <w:gridCol w:w="7501"/>
      </w:tblGrid>
      <w:tr w:rsidR="00461178" w:rsidRPr="009819AC" w:rsidTr="005D0DA1">
        <w:tc>
          <w:tcPr>
            <w:tcW w:w="9242" w:type="dxa"/>
            <w:gridSpan w:val="2"/>
            <w:shd w:val="clear" w:color="auto" w:fill="4BACC6" w:themeFill="accent5"/>
          </w:tcPr>
          <w:p w:rsidR="00461178" w:rsidRPr="00110829" w:rsidRDefault="00461178" w:rsidP="005D0DA1">
            <w:pPr>
              <w:jc w:val="both"/>
              <w:rPr>
                <w:b/>
              </w:rPr>
            </w:pPr>
            <w:r w:rsidRPr="00110829">
              <w:rPr>
                <w:b/>
              </w:rPr>
              <w:t>Supplementary Planning Guidance</w:t>
            </w:r>
          </w:p>
        </w:tc>
      </w:tr>
      <w:tr w:rsidR="00461178" w:rsidRPr="009819AC" w:rsidTr="00461178">
        <w:tc>
          <w:tcPr>
            <w:tcW w:w="1526" w:type="dxa"/>
            <w:vMerge w:val="restart"/>
            <w:shd w:val="clear" w:color="auto" w:fill="00B0F0"/>
          </w:tcPr>
          <w:p w:rsidR="00461178" w:rsidRPr="009819AC" w:rsidRDefault="00461178" w:rsidP="005D0DA1">
            <w:pPr>
              <w:jc w:val="center"/>
              <w:rPr>
                <w:b/>
              </w:rPr>
            </w:pPr>
            <w:r>
              <w:rPr>
                <w:b/>
              </w:rPr>
              <w:t>Completed during previous monitoring period</w:t>
            </w:r>
          </w:p>
        </w:tc>
        <w:tc>
          <w:tcPr>
            <w:tcW w:w="7716" w:type="dxa"/>
            <w:shd w:val="clear" w:color="auto" w:fill="00B0F0"/>
          </w:tcPr>
          <w:p w:rsidR="00461178" w:rsidRPr="00B05DEE" w:rsidRDefault="00461178" w:rsidP="005D0DA1">
            <w:pPr>
              <w:jc w:val="both"/>
            </w:pPr>
            <w:r w:rsidRPr="00B05DEE">
              <w:t>Supplementary Planning Guidance</w:t>
            </w:r>
            <w:r>
              <w:t xml:space="preserve"> has been produced in relation to the following</w:t>
            </w:r>
            <w:r w:rsidRPr="00B05DEE">
              <w:t>:</w:t>
            </w:r>
          </w:p>
          <w:p w:rsidR="00461178" w:rsidRPr="00B05DEE" w:rsidRDefault="00461178" w:rsidP="005D0DA1">
            <w:pPr>
              <w:jc w:val="both"/>
            </w:pPr>
          </w:p>
          <w:p w:rsidR="00461178" w:rsidRPr="00B05DEE" w:rsidRDefault="00461178" w:rsidP="005D0DA1">
            <w:pPr>
              <w:numPr>
                <w:ilvl w:val="0"/>
                <w:numId w:val="2"/>
              </w:numPr>
              <w:jc w:val="both"/>
            </w:pPr>
            <w:r w:rsidRPr="00B05DEE">
              <w:t>Affordable Housing</w:t>
            </w:r>
          </w:p>
          <w:p w:rsidR="00461178" w:rsidRPr="00B05DEE" w:rsidRDefault="00461178" w:rsidP="005D0DA1">
            <w:pPr>
              <w:numPr>
                <w:ilvl w:val="0"/>
                <w:numId w:val="2"/>
              </w:numPr>
              <w:jc w:val="both"/>
            </w:pPr>
            <w:r w:rsidRPr="00B05DEE">
              <w:t>Planning Obligations Strategy</w:t>
            </w:r>
          </w:p>
          <w:p w:rsidR="00461178" w:rsidRPr="00B05DEE" w:rsidRDefault="00461178" w:rsidP="005D0DA1">
            <w:pPr>
              <w:pStyle w:val="ListParagraph"/>
              <w:numPr>
                <w:ilvl w:val="0"/>
                <w:numId w:val="2"/>
              </w:numPr>
              <w:jc w:val="both"/>
            </w:pPr>
            <w:r w:rsidRPr="00B05DEE">
              <w:t xml:space="preserve">CYD LP1: Appropriate Development in the Countryside  </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Default="00461178" w:rsidP="005D0DA1">
            <w:pPr>
              <w:jc w:val="both"/>
              <w:rPr>
                <w:b/>
              </w:rPr>
            </w:pPr>
            <w:r>
              <w:rPr>
                <w:b/>
              </w:rPr>
              <w:t>Comment:</w:t>
            </w:r>
          </w:p>
          <w:p w:rsidR="00461178" w:rsidRDefault="00461178" w:rsidP="005D0DA1">
            <w:pPr>
              <w:jc w:val="both"/>
            </w:pPr>
            <w:r w:rsidRPr="00B05DEE">
              <w:t>In line with the requirements of the L</w:t>
            </w:r>
            <w:r>
              <w:t xml:space="preserve">ocal </w:t>
            </w:r>
            <w:r w:rsidRPr="00B05DEE">
              <w:t>D</w:t>
            </w:r>
            <w:r>
              <w:t xml:space="preserve">evelopment </w:t>
            </w:r>
            <w:r w:rsidRPr="00B05DEE">
              <w:t>P</w:t>
            </w:r>
            <w:r>
              <w:t>lan</w:t>
            </w:r>
            <w:r w:rsidRPr="00B05DEE">
              <w:t xml:space="preserve"> Monitoring Framework, Members have endorsed the </w:t>
            </w:r>
            <w:r>
              <w:t>above pieces of Supplementary Planning Guidance.  These three guidance documents take account of and address the 6 Supplementary Planning Guidance referred to in the ‘Delivering Housing’ section of the Local Development Plan Monitoring Framework.</w:t>
            </w:r>
          </w:p>
          <w:p w:rsidR="00461178" w:rsidRPr="00B05DEE" w:rsidRDefault="00461178" w:rsidP="005D0DA1">
            <w:pPr>
              <w:jc w:val="both"/>
            </w:pP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110829" w:rsidRDefault="00461178" w:rsidP="005D0DA1">
            <w:pPr>
              <w:jc w:val="both"/>
              <w:rPr>
                <w:b/>
              </w:rPr>
            </w:pPr>
            <w:r w:rsidRPr="00110829">
              <w:rPr>
                <w:b/>
              </w:rPr>
              <w:t>Recommendation:</w:t>
            </w:r>
          </w:p>
          <w:p w:rsidR="00461178" w:rsidRPr="00B05DEE" w:rsidRDefault="00461178" w:rsidP="005D0DA1">
            <w:pPr>
              <w:jc w:val="both"/>
            </w:pPr>
            <w:r>
              <w:lastRenderedPageBreak/>
              <w:t>The relevant Supplementary Planning Guidance has been completed.  Accordingly, no further monitoring is required.</w:t>
            </w:r>
          </w:p>
        </w:tc>
      </w:tr>
    </w:tbl>
    <w:p w:rsidR="00461178" w:rsidRDefault="00461178" w:rsidP="00461178">
      <w:pPr>
        <w:jc w:val="both"/>
        <w:rPr>
          <w:b/>
        </w:rPr>
      </w:pPr>
    </w:p>
    <w:p w:rsidR="00461178" w:rsidRPr="00B05DEE" w:rsidRDefault="00461178" w:rsidP="00B05DEE">
      <w:pPr>
        <w:jc w:val="both"/>
        <w:rPr>
          <w:b/>
        </w:rPr>
      </w:pPr>
    </w:p>
    <w:p w:rsidR="007F1814" w:rsidRDefault="004668D1" w:rsidP="007467EF">
      <w:pPr>
        <w:jc w:val="both"/>
        <w:rPr>
          <w:b/>
          <w:sz w:val="24"/>
          <w:szCs w:val="24"/>
        </w:rPr>
      </w:pPr>
      <w:r w:rsidRPr="007467EF">
        <w:rPr>
          <w:b/>
          <w:sz w:val="24"/>
          <w:szCs w:val="24"/>
        </w:rPr>
        <w:t>Economic Wellbeing</w:t>
      </w:r>
    </w:p>
    <w:p w:rsidR="007467EF" w:rsidRDefault="007467EF" w:rsidP="007467EF">
      <w:pPr>
        <w:jc w:val="both"/>
        <w:rPr>
          <w:b/>
          <w:sz w:val="24"/>
          <w:szCs w:val="24"/>
        </w:rPr>
      </w:pPr>
    </w:p>
    <w:p w:rsidR="00FA730F" w:rsidRPr="00FA730F" w:rsidRDefault="00FA730F" w:rsidP="007467EF">
      <w:pPr>
        <w:jc w:val="both"/>
        <w:rPr>
          <w:b/>
        </w:rPr>
      </w:pPr>
      <w:r w:rsidRPr="00FA730F">
        <w:rPr>
          <w:b/>
        </w:rPr>
        <w:t>Figure 14</w:t>
      </w:r>
    </w:p>
    <w:tbl>
      <w:tblPr>
        <w:tblStyle w:val="TableGrid"/>
        <w:tblW w:w="0" w:type="auto"/>
        <w:tblLook w:val="04A0" w:firstRow="1" w:lastRow="0" w:firstColumn="1" w:lastColumn="0" w:noHBand="0" w:noVBand="1"/>
      </w:tblPr>
      <w:tblGrid>
        <w:gridCol w:w="1516"/>
        <w:gridCol w:w="7500"/>
      </w:tblGrid>
      <w:tr w:rsidR="00110829" w:rsidRPr="009819AC" w:rsidTr="00941DF9">
        <w:tc>
          <w:tcPr>
            <w:tcW w:w="9016" w:type="dxa"/>
            <w:gridSpan w:val="2"/>
            <w:shd w:val="clear" w:color="auto" w:fill="4BACC6" w:themeFill="accent5"/>
          </w:tcPr>
          <w:p w:rsidR="00110829" w:rsidRPr="00110829" w:rsidRDefault="00110829" w:rsidP="00A12D21">
            <w:pPr>
              <w:jc w:val="both"/>
            </w:pPr>
            <w:r w:rsidRPr="00110829">
              <w:rPr>
                <w:b/>
              </w:rPr>
              <w:t>Development of Employment Land</w:t>
            </w:r>
            <w:r w:rsidR="009D75FB">
              <w:rPr>
                <w:b/>
              </w:rPr>
              <w:t xml:space="preserve"> </w:t>
            </w:r>
          </w:p>
        </w:tc>
      </w:tr>
      <w:tr w:rsidR="00941DF9" w:rsidRPr="009819AC" w:rsidTr="006640A7">
        <w:tc>
          <w:tcPr>
            <w:tcW w:w="1516" w:type="dxa"/>
            <w:vMerge w:val="restart"/>
            <w:shd w:val="clear" w:color="auto" w:fill="00B0F0"/>
          </w:tcPr>
          <w:p w:rsidR="00941DF9" w:rsidRDefault="00DD55F4" w:rsidP="00B05DEE">
            <w:pPr>
              <w:jc w:val="center"/>
              <w:rPr>
                <w:b/>
              </w:rPr>
            </w:pPr>
            <w:r>
              <w:rPr>
                <w:b/>
              </w:rPr>
              <w:t>Monitoring Complete</w:t>
            </w:r>
          </w:p>
          <w:p w:rsidR="00150F0D" w:rsidRDefault="00150F0D" w:rsidP="00116A25">
            <w:pPr>
              <w:rPr>
                <w:b/>
              </w:rPr>
            </w:pPr>
          </w:p>
        </w:tc>
        <w:tc>
          <w:tcPr>
            <w:tcW w:w="7500" w:type="dxa"/>
            <w:shd w:val="clear" w:color="auto" w:fill="00B0F0"/>
          </w:tcPr>
          <w:p w:rsidR="00824DE6" w:rsidRPr="00150F0D" w:rsidRDefault="00824DE6" w:rsidP="00824DE6">
            <w:pPr>
              <w:jc w:val="both"/>
              <w:rPr>
                <w:b/>
              </w:rPr>
            </w:pPr>
            <w:r w:rsidRPr="00150F0D">
              <w:rPr>
                <w:b/>
              </w:rPr>
              <w:t>Third Monitoring Period</w:t>
            </w:r>
          </w:p>
          <w:p w:rsidR="00824DE6" w:rsidRDefault="00824DE6" w:rsidP="00824DE6">
            <w:pPr>
              <w:jc w:val="both"/>
            </w:pPr>
            <w:r w:rsidRPr="00150F0D">
              <w:t>During the period 1/4/16-31/3/17 permissions were granted for 1.16 hectares of B Use Class development falling within allocated employment sites.</w:t>
            </w:r>
          </w:p>
          <w:p w:rsidR="00941DF9" w:rsidRDefault="00941DF9" w:rsidP="00A12D21">
            <w:pPr>
              <w:jc w:val="both"/>
              <w:rPr>
                <w:b/>
                <w:highlight w:val="yellow"/>
              </w:rPr>
            </w:pPr>
          </w:p>
          <w:p w:rsidR="00116A25" w:rsidRPr="006640A7" w:rsidRDefault="00751CDB" w:rsidP="00A12D21">
            <w:pPr>
              <w:jc w:val="both"/>
              <w:rPr>
                <w:highlight w:val="yellow"/>
              </w:rPr>
            </w:pPr>
            <w:r w:rsidRPr="006640A7">
              <w:t xml:space="preserve">A total </w:t>
            </w:r>
            <w:r w:rsidR="006640A7" w:rsidRPr="006640A7">
              <w:t>of 0.8 hectares of employment land has been developed since the adoption of the LDP.</w:t>
            </w:r>
          </w:p>
        </w:tc>
      </w:tr>
      <w:tr w:rsidR="00941DF9" w:rsidRPr="009819AC" w:rsidTr="006640A7">
        <w:tc>
          <w:tcPr>
            <w:tcW w:w="1516" w:type="dxa"/>
            <w:vMerge/>
            <w:shd w:val="clear" w:color="auto" w:fill="00B0F0"/>
          </w:tcPr>
          <w:p w:rsidR="00941DF9" w:rsidRPr="009819AC" w:rsidRDefault="00941DF9" w:rsidP="00B05DEE">
            <w:pPr>
              <w:jc w:val="center"/>
              <w:rPr>
                <w:b/>
              </w:rPr>
            </w:pPr>
          </w:p>
        </w:tc>
        <w:tc>
          <w:tcPr>
            <w:tcW w:w="7500" w:type="dxa"/>
            <w:shd w:val="clear" w:color="auto" w:fill="BFBFBF" w:themeFill="background1" w:themeFillShade="BF"/>
          </w:tcPr>
          <w:p w:rsidR="00941DF9" w:rsidRPr="00941DF9" w:rsidRDefault="00941DF9" w:rsidP="00A12D21">
            <w:pPr>
              <w:jc w:val="both"/>
              <w:rPr>
                <w:b/>
              </w:rPr>
            </w:pPr>
            <w:r w:rsidRPr="00941DF9">
              <w:rPr>
                <w:b/>
              </w:rPr>
              <w:t>Second Monitoring Period</w:t>
            </w:r>
          </w:p>
          <w:p w:rsidR="00941DF9" w:rsidRDefault="00941DF9" w:rsidP="00A12D21">
            <w:pPr>
              <w:jc w:val="both"/>
            </w:pPr>
            <w:r>
              <w:t>During the period 1/4/15-31/3/16 permissions were granted for 0.135 hectares of B Use Class development falling within allocated employment sites.</w:t>
            </w:r>
          </w:p>
          <w:p w:rsidR="00941DF9" w:rsidRPr="00FD4E77" w:rsidRDefault="00941DF9" w:rsidP="00941DF9">
            <w:pPr>
              <w:tabs>
                <w:tab w:val="left" w:pos="996"/>
              </w:tabs>
              <w:jc w:val="both"/>
            </w:pPr>
            <w:r>
              <w:tab/>
            </w: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shd w:val="clear" w:color="auto" w:fill="D9D9D9" w:themeFill="background1" w:themeFillShade="D9"/>
          </w:tcPr>
          <w:p w:rsidR="00941DF9" w:rsidRDefault="00941DF9" w:rsidP="00110829">
            <w:pPr>
              <w:jc w:val="both"/>
              <w:rPr>
                <w:b/>
              </w:rPr>
            </w:pPr>
            <w:r>
              <w:rPr>
                <w:b/>
              </w:rPr>
              <w:t>First Monitoring Period:</w:t>
            </w:r>
          </w:p>
          <w:p w:rsidR="00941DF9" w:rsidRDefault="00941DF9" w:rsidP="00110829">
            <w:pPr>
              <w:jc w:val="both"/>
              <w:rPr>
                <w:b/>
              </w:rPr>
            </w:pPr>
            <w:r>
              <w:t>Permissions granted for a total of 0.491</w:t>
            </w:r>
            <w:r w:rsidRPr="00FD4E77">
              <w:t xml:space="preserve"> Hectares of B Use Class development falling</w:t>
            </w:r>
            <w:r>
              <w:t xml:space="preserve"> within allocated employment sites.</w:t>
            </w: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tcPr>
          <w:p w:rsidR="00941DF9" w:rsidRDefault="00941DF9" w:rsidP="00110829">
            <w:pPr>
              <w:jc w:val="both"/>
              <w:rPr>
                <w:b/>
              </w:rPr>
            </w:pPr>
            <w:r>
              <w:rPr>
                <w:b/>
              </w:rPr>
              <w:t>Comment:</w:t>
            </w:r>
          </w:p>
          <w:p w:rsidR="00941DF9" w:rsidRDefault="00941DF9" w:rsidP="00A12D21">
            <w:pPr>
              <w:jc w:val="both"/>
            </w:pPr>
            <w:r w:rsidRPr="00AC4D02">
              <w:t>The trigger for assessment in relation to this indicator is that less than 0.5 hectares of employment land allocated is developed by 20</w:t>
            </w:r>
            <w:r w:rsidR="00116A25">
              <w:t>17</w:t>
            </w:r>
            <w:r w:rsidR="006640A7">
              <w:t xml:space="preserve"> and 0.75 hectares by the end of the Plan period</w:t>
            </w:r>
            <w:r w:rsidR="00116A25">
              <w:t>.  As referred to above, a total of 1.786</w:t>
            </w:r>
            <w:r w:rsidRPr="00AC4D02">
              <w:t xml:space="preserve"> hectares of employment land has been granted planning permission for B1, B2 and B8 uses during the monitoring period</w:t>
            </w:r>
            <w:r w:rsidR="006640A7">
              <w:t>, with a total of 0.8 hectares being developed to date</w:t>
            </w:r>
            <w:r w:rsidRPr="00AC4D02">
              <w:t xml:space="preserve">.  </w:t>
            </w:r>
          </w:p>
          <w:p w:rsidR="006640A7" w:rsidRDefault="006640A7" w:rsidP="006640A7">
            <w:pPr>
              <w:jc w:val="both"/>
            </w:pPr>
          </w:p>
          <w:p w:rsidR="006640A7" w:rsidRDefault="006640A7" w:rsidP="00A12D21">
            <w:pPr>
              <w:jc w:val="both"/>
            </w:pPr>
            <w:r>
              <w:t>It should also be noted that a total of 0.56 hectares of employment development has taken place since the adoption of the LDP – a total of 1.36 hectares overall.</w:t>
            </w:r>
          </w:p>
          <w:p w:rsidR="006640A7" w:rsidRDefault="006640A7" w:rsidP="00A12D21">
            <w:pPr>
              <w:jc w:val="both"/>
            </w:pPr>
          </w:p>
          <w:p w:rsidR="00116A25" w:rsidRDefault="006640A7" w:rsidP="00A12D21">
            <w:pPr>
              <w:jc w:val="both"/>
            </w:pPr>
            <w:r>
              <w:t>I</w:t>
            </w:r>
            <w:r w:rsidR="00116A25">
              <w:t>n readiness for the commencement of the LDP Review in December 2017</w:t>
            </w:r>
            <w:r w:rsidR="00063B66">
              <w:t>, the Authority has commissioned evidence gathering work to commence in the form of a comprehensive Employment Land Review.  This will form a key piece of evidence for the Review and will set out options relating to the required level of new employment land required for allocation for the replacement LDP period of 2017 to 2032.</w:t>
            </w:r>
          </w:p>
          <w:p w:rsidR="00116A25" w:rsidRDefault="00116A25" w:rsidP="00A12D21">
            <w:pPr>
              <w:jc w:val="both"/>
            </w:pP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tcPr>
          <w:p w:rsidR="00941DF9" w:rsidRDefault="00941DF9" w:rsidP="00110829">
            <w:pPr>
              <w:jc w:val="both"/>
              <w:rPr>
                <w:b/>
              </w:rPr>
            </w:pPr>
            <w:r>
              <w:rPr>
                <w:b/>
              </w:rPr>
              <w:t>Recommendation:</w:t>
            </w:r>
          </w:p>
          <w:p w:rsidR="00941DF9" w:rsidRDefault="00116A25" w:rsidP="00110829">
            <w:pPr>
              <w:jc w:val="both"/>
            </w:pPr>
            <w:r>
              <w:t>This indicator requires</w:t>
            </w:r>
            <w:r w:rsidR="00941DF9" w:rsidRPr="00BF67CA">
              <w:t xml:space="preserve"> at least 0.5ha of </w:t>
            </w:r>
            <w:r w:rsidR="00941DF9" w:rsidRPr="006640A7">
              <w:t>employment land to be developed by 20</w:t>
            </w:r>
            <w:r w:rsidRPr="006640A7">
              <w:t>17</w:t>
            </w:r>
            <w:r w:rsidR="006640A7" w:rsidRPr="006640A7">
              <w:t>, and 0.75 hectares over the Plan period</w:t>
            </w:r>
            <w:r w:rsidRPr="006640A7">
              <w:t>.  Accordingly,</w:t>
            </w:r>
            <w:r w:rsidR="006640A7" w:rsidRPr="006640A7">
              <w:t xml:space="preserve"> the requirements of this indicator have been met.</w:t>
            </w:r>
          </w:p>
        </w:tc>
      </w:tr>
    </w:tbl>
    <w:p w:rsidR="00657C73" w:rsidRDefault="00657C73" w:rsidP="00110829">
      <w:pPr>
        <w:jc w:val="both"/>
        <w:rPr>
          <w:b/>
          <w:i/>
        </w:rPr>
      </w:pPr>
    </w:p>
    <w:p w:rsidR="00FA730F" w:rsidRPr="00FA730F" w:rsidRDefault="00FA730F" w:rsidP="00110829">
      <w:pPr>
        <w:jc w:val="both"/>
        <w:rPr>
          <w:b/>
        </w:rPr>
      </w:pPr>
      <w:r>
        <w:rPr>
          <w:b/>
        </w:rPr>
        <w:t>Figure 15</w:t>
      </w:r>
    </w:p>
    <w:tbl>
      <w:tblPr>
        <w:tblStyle w:val="TableGrid"/>
        <w:tblW w:w="0" w:type="auto"/>
        <w:tblLook w:val="04A0" w:firstRow="1" w:lastRow="0" w:firstColumn="1" w:lastColumn="0" w:noHBand="0" w:noVBand="1"/>
      </w:tblPr>
      <w:tblGrid>
        <w:gridCol w:w="1516"/>
        <w:gridCol w:w="7500"/>
      </w:tblGrid>
      <w:tr w:rsidR="00110829" w:rsidRPr="009819AC" w:rsidTr="00941DF9">
        <w:tc>
          <w:tcPr>
            <w:tcW w:w="9016" w:type="dxa"/>
            <w:gridSpan w:val="2"/>
            <w:shd w:val="clear" w:color="auto" w:fill="4BACC6" w:themeFill="accent5"/>
          </w:tcPr>
          <w:p w:rsidR="00110829" w:rsidRPr="00110829" w:rsidRDefault="00110829" w:rsidP="009819AC">
            <w:pPr>
              <w:jc w:val="both"/>
            </w:pPr>
            <w:r w:rsidRPr="00110829">
              <w:rPr>
                <w:b/>
              </w:rPr>
              <w:t>Loss of Employment Land</w:t>
            </w:r>
            <w:r w:rsidR="009D75FB">
              <w:rPr>
                <w:b/>
              </w:rPr>
              <w:t xml:space="preserve"> </w:t>
            </w:r>
          </w:p>
        </w:tc>
      </w:tr>
      <w:tr w:rsidR="00941DF9" w:rsidRPr="009819AC" w:rsidTr="00116A25">
        <w:tc>
          <w:tcPr>
            <w:tcW w:w="1516" w:type="dxa"/>
            <w:vMerge w:val="restart"/>
            <w:shd w:val="clear" w:color="auto" w:fill="00B050"/>
          </w:tcPr>
          <w:p w:rsidR="00941DF9" w:rsidRDefault="00941DF9" w:rsidP="00984543">
            <w:pPr>
              <w:jc w:val="center"/>
              <w:rPr>
                <w:b/>
              </w:rPr>
            </w:pPr>
            <w:r>
              <w:rPr>
                <w:b/>
              </w:rPr>
              <w:t>Continue Monitoring</w:t>
            </w:r>
          </w:p>
        </w:tc>
        <w:tc>
          <w:tcPr>
            <w:tcW w:w="7500" w:type="dxa"/>
            <w:shd w:val="clear" w:color="auto" w:fill="00B050"/>
          </w:tcPr>
          <w:p w:rsidR="00824DE6" w:rsidRPr="00941DF9" w:rsidRDefault="00824DE6" w:rsidP="00824DE6">
            <w:pPr>
              <w:jc w:val="both"/>
              <w:rPr>
                <w:b/>
              </w:rPr>
            </w:pPr>
            <w:r>
              <w:rPr>
                <w:b/>
              </w:rPr>
              <w:t>Third</w:t>
            </w:r>
            <w:r w:rsidRPr="00941DF9">
              <w:rPr>
                <w:b/>
              </w:rPr>
              <w:t xml:space="preserve"> Monitoring Period</w:t>
            </w:r>
          </w:p>
          <w:p w:rsidR="00941DF9" w:rsidRDefault="00824DE6" w:rsidP="00824DE6">
            <w:pPr>
              <w:jc w:val="both"/>
            </w:pPr>
            <w:r>
              <w:t>0 permissions granted for non-employment uses on allocated or identified employment land</w:t>
            </w:r>
          </w:p>
        </w:tc>
      </w:tr>
      <w:tr w:rsidR="00941DF9" w:rsidRPr="009819AC" w:rsidTr="00116A25">
        <w:tc>
          <w:tcPr>
            <w:tcW w:w="1516" w:type="dxa"/>
            <w:vMerge/>
            <w:shd w:val="clear" w:color="auto" w:fill="00B050"/>
          </w:tcPr>
          <w:p w:rsidR="00941DF9" w:rsidRPr="009819AC" w:rsidRDefault="00941DF9" w:rsidP="00984543">
            <w:pPr>
              <w:jc w:val="center"/>
              <w:rPr>
                <w:b/>
              </w:rPr>
            </w:pPr>
          </w:p>
        </w:tc>
        <w:tc>
          <w:tcPr>
            <w:tcW w:w="7500" w:type="dxa"/>
            <w:shd w:val="clear" w:color="auto" w:fill="BFBFBF" w:themeFill="background1" w:themeFillShade="BF"/>
          </w:tcPr>
          <w:p w:rsidR="00941DF9" w:rsidRPr="00941DF9" w:rsidRDefault="00941DF9" w:rsidP="009819AC">
            <w:pPr>
              <w:jc w:val="both"/>
              <w:rPr>
                <w:b/>
              </w:rPr>
            </w:pPr>
            <w:r w:rsidRPr="00941DF9">
              <w:rPr>
                <w:b/>
              </w:rPr>
              <w:t>Second Monitoring Period</w:t>
            </w:r>
          </w:p>
          <w:p w:rsidR="00941DF9" w:rsidRPr="00FD4E77" w:rsidRDefault="00941DF9" w:rsidP="009819AC">
            <w:pPr>
              <w:jc w:val="both"/>
            </w:pPr>
            <w:r>
              <w:t>0 permissions granted for non-employment uses on allocated or identified employment land</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shd w:val="clear" w:color="auto" w:fill="D9D9D9" w:themeFill="background1" w:themeFillShade="D9"/>
          </w:tcPr>
          <w:p w:rsidR="00941DF9" w:rsidRPr="00941DF9" w:rsidRDefault="00941DF9" w:rsidP="00110829">
            <w:pPr>
              <w:jc w:val="both"/>
              <w:rPr>
                <w:b/>
              </w:rPr>
            </w:pPr>
            <w:r w:rsidRPr="00941DF9">
              <w:rPr>
                <w:b/>
              </w:rPr>
              <w:t>First Monitoring Period</w:t>
            </w:r>
          </w:p>
          <w:p w:rsidR="00941DF9" w:rsidRDefault="00941DF9" w:rsidP="00110829">
            <w:pPr>
              <w:jc w:val="both"/>
              <w:rPr>
                <w:b/>
              </w:rPr>
            </w:pPr>
            <w:r>
              <w:t>0 permissions granted for non-employment uses on allocated or identified employment land</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110829">
            <w:pPr>
              <w:jc w:val="both"/>
              <w:rPr>
                <w:b/>
              </w:rPr>
            </w:pPr>
            <w:r>
              <w:rPr>
                <w:b/>
              </w:rPr>
              <w:t>Comment:</w:t>
            </w:r>
          </w:p>
          <w:p w:rsidR="00941DF9" w:rsidRDefault="00941DF9" w:rsidP="009819AC">
            <w:pPr>
              <w:jc w:val="both"/>
            </w:pPr>
            <w:r>
              <w:t>None.</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110829">
            <w:pPr>
              <w:jc w:val="both"/>
            </w:pPr>
            <w:r w:rsidRPr="00192933">
              <w:rPr>
                <w:b/>
              </w:rPr>
              <w:t>Recommendation</w:t>
            </w:r>
            <w:r>
              <w:t>:</w:t>
            </w:r>
          </w:p>
          <w:p w:rsidR="00941DF9" w:rsidRDefault="00941DF9" w:rsidP="00110829">
            <w:pPr>
              <w:jc w:val="both"/>
            </w:pPr>
            <w:r>
              <w:t>The trigger for assessment for this indication is 1 application being granted planning permission on existing employment land for non-employment land uses.  0 permissions have been granted to date.  Accordingly, this indicator will continue to be monitored.</w:t>
            </w:r>
          </w:p>
        </w:tc>
      </w:tr>
    </w:tbl>
    <w:p w:rsidR="00657C73" w:rsidRDefault="00657C73" w:rsidP="00A34177">
      <w:pPr>
        <w:jc w:val="both"/>
        <w:rPr>
          <w:b/>
          <w:i/>
        </w:rPr>
      </w:pPr>
    </w:p>
    <w:p w:rsidR="00FA730F" w:rsidRPr="00FA730F" w:rsidRDefault="00FA730F" w:rsidP="00A34177">
      <w:pPr>
        <w:jc w:val="both"/>
        <w:rPr>
          <w:b/>
        </w:rPr>
      </w:pPr>
      <w:r>
        <w:rPr>
          <w:b/>
        </w:rPr>
        <w:t>Figure 16</w:t>
      </w:r>
    </w:p>
    <w:tbl>
      <w:tblPr>
        <w:tblStyle w:val="TableGrid"/>
        <w:tblW w:w="0" w:type="auto"/>
        <w:tblLook w:val="04A0" w:firstRow="1" w:lastRow="0" w:firstColumn="1" w:lastColumn="0" w:noHBand="0" w:noVBand="1"/>
      </w:tblPr>
      <w:tblGrid>
        <w:gridCol w:w="1516"/>
        <w:gridCol w:w="7500"/>
      </w:tblGrid>
      <w:tr w:rsidR="00A34177" w:rsidRPr="009819AC" w:rsidTr="00941DF9">
        <w:tc>
          <w:tcPr>
            <w:tcW w:w="9016" w:type="dxa"/>
            <w:gridSpan w:val="2"/>
            <w:shd w:val="clear" w:color="auto" w:fill="4BACC6" w:themeFill="accent5"/>
          </w:tcPr>
          <w:p w:rsidR="00A34177" w:rsidRPr="00A34177" w:rsidRDefault="00A34177" w:rsidP="009819AC">
            <w:pPr>
              <w:jc w:val="both"/>
            </w:pPr>
            <w:r w:rsidRPr="00A34177">
              <w:rPr>
                <w:b/>
              </w:rPr>
              <w:t>Employment development in Sennybridge and Defynnog</w:t>
            </w:r>
            <w:r w:rsidR="009D75FB">
              <w:rPr>
                <w:b/>
              </w:rPr>
              <w:t xml:space="preserve"> </w:t>
            </w:r>
          </w:p>
        </w:tc>
      </w:tr>
      <w:tr w:rsidR="00941DF9" w:rsidRPr="009819AC" w:rsidTr="00116A25">
        <w:tc>
          <w:tcPr>
            <w:tcW w:w="1516" w:type="dxa"/>
            <w:vMerge w:val="restart"/>
            <w:shd w:val="clear" w:color="auto" w:fill="00B050"/>
          </w:tcPr>
          <w:p w:rsidR="00941DF9" w:rsidRDefault="00941DF9" w:rsidP="00984543">
            <w:pPr>
              <w:jc w:val="center"/>
              <w:rPr>
                <w:b/>
              </w:rPr>
            </w:pPr>
            <w:r>
              <w:rPr>
                <w:b/>
              </w:rPr>
              <w:t>Continue Monitoring</w:t>
            </w:r>
          </w:p>
        </w:tc>
        <w:tc>
          <w:tcPr>
            <w:tcW w:w="7500" w:type="dxa"/>
            <w:shd w:val="clear" w:color="auto" w:fill="00B050"/>
          </w:tcPr>
          <w:p w:rsidR="00C5685B" w:rsidRPr="00116A25" w:rsidRDefault="00C5685B" w:rsidP="00C5685B">
            <w:pPr>
              <w:jc w:val="both"/>
              <w:rPr>
                <w:b/>
              </w:rPr>
            </w:pPr>
            <w:r w:rsidRPr="00116A25">
              <w:rPr>
                <w:b/>
              </w:rPr>
              <w:t>Third Monitoring Period</w:t>
            </w:r>
          </w:p>
          <w:p w:rsidR="00941DF9" w:rsidRPr="00FD4E77" w:rsidRDefault="00C5685B" w:rsidP="00C5685B">
            <w:pPr>
              <w:jc w:val="both"/>
            </w:pPr>
            <w:r w:rsidRPr="00116A25">
              <w:t>0 permissions granted for employment generating development within Sennybridge</w:t>
            </w:r>
          </w:p>
        </w:tc>
      </w:tr>
      <w:tr w:rsidR="00941DF9" w:rsidRPr="009819AC" w:rsidTr="00116A25">
        <w:tc>
          <w:tcPr>
            <w:tcW w:w="1516" w:type="dxa"/>
            <w:vMerge/>
            <w:shd w:val="clear" w:color="auto" w:fill="00B050"/>
          </w:tcPr>
          <w:p w:rsidR="00941DF9" w:rsidRPr="009819AC" w:rsidRDefault="00941DF9" w:rsidP="00984543">
            <w:pPr>
              <w:jc w:val="center"/>
              <w:rPr>
                <w:b/>
              </w:rPr>
            </w:pPr>
          </w:p>
        </w:tc>
        <w:tc>
          <w:tcPr>
            <w:tcW w:w="7500" w:type="dxa"/>
            <w:shd w:val="clear" w:color="auto" w:fill="BFBFBF" w:themeFill="background1" w:themeFillShade="BF"/>
          </w:tcPr>
          <w:p w:rsidR="00941DF9" w:rsidRPr="00941DF9" w:rsidRDefault="00941DF9" w:rsidP="009819AC">
            <w:pPr>
              <w:jc w:val="both"/>
              <w:rPr>
                <w:b/>
              </w:rPr>
            </w:pPr>
            <w:r w:rsidRPr="00941DF9">
              <w:rPr>
                <w:b/>
              </w:rPr>
              <w:t>Second Monitoring Period</w:t>
            </w:r>
          </w:p>
          <w:p w:rsidR="00941DF9" w:rsidRPr="00FD4E77" w:rsidRDefault="00941DF9" w:rsidP="009819AC">
            <w:pPr>
              <w:jc w:val="both"/>
            </w:pPr>
            <w:r w:rsidRPr="00FD4E77">
              <w:t xml:space="preserve">0 permissions granted for employment generating development within Sennybridge </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shd w:val="clear" w:color="auto" w:fill="D9D9D9" w:themeFill="background1" w:themeFillShade="D9"/>
          </w:tcPr>
          <w:p w:rsidR="00941DF9" w:rsidRDefault="00941DF9" w:rsidP="00A34177">
            <w:pPr>
              <w:jc w:val="both"/>
              <w:rPr>
                <w:b/>
              </w:rPr>
            </w:pPr>
            <w:r>
              <w:rPr>
                <w:b/>
              </w:rPr>
              <w:t>First Monitoring Period:</w:t>
            </w:r>
          </w:p>
          <w:p w:rsidR="00941DF9" w:rsidRDefault="00941DF9" w:rsidP="00A34177">
            <w:pPr>
              <w:jc w:val="both"/>
              <w:rPr>
                <w:b/>
              </w:rPr>
            </w:pPr>
            <w:r w:rsidRPr="00FD4E77">
              <w:t>0 permissions granted for employment generating development within Sennybridge</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A34177">
            <w:pPr>
              <w:jc w:val="both"/>
              <w:rPr>
                <w:b/>
              </w:rPr>
            </w:pPr>
            <w:r>
              <w:rPr>
                <w:b/>
              </w:rPr>
              <w:t>Comment:</w:t>
            </w:r>
          </w:p>
          <w:p w:rsidR="00116A25" w:rsidRDefault="00941DF9" w:rsidP="00477566">
            <w:pPr>
              <w:jc w:val="both"/>
            </w:pPr>
            <w:r w:rsidRPr="00192933">
              <w:lastRenderedPageBreak/>
              <w:t>This indicator was included as a result of a proposed allocated employment site being withdrawn from the L</w:t>
            </w:r>
            <w:r>
              <w:t xml:space="preserve">ocal </w:t>
            </w:r>
            <w:r w:rsidRPr="00192933">
              <w:t>D</w:t>
            </w:r>
            <w:r>
              <w:t xml:space="preserve">evelopment </w:t>
            </w:r>
            <w:r w:rsidRPr="00192933">
              <w:t>P</w:t>
            </w:r>
            <w:r>
              <w:t>lan</w:t>
            </w:r>
            <w:r w:rsidRPr="00192933">
              <w:t xml:space="preserve"> by the landowner during the Examination.  An assessment would be triggered if 1.43 ha of employment land is not granted planning permission within or beyond the Sennybridge a</w:t>
            </w:r>
            <w:r w:rsidR="00116A25">
              <w:t>nd Defynnog settlement by 2017.</w:t>
            </w:r>
          </w:p>
          <w:p w:rsidR="00116A25" w:rsidRPr="00192933" w:rsidRDefault="00116A25" w:rsidP="00477566">
            <w:pPr>
              <w:jc w:val="both"/>
            </w:pPr>
          </w:p>
          <w:p w:rsidR="00941DF9" w:rsidRPr="00FD4E77" w:rsidRDefault="00941DF9" w:rsidP="00477566">
            <w:pPr>
              <w:jc w:val="both"/>
            </w:pPr>
            <w:r w:rsidRPr="00192933">
              <w:t xml:space="preserve">It should be noted that the Authority’s Employment Land Review identified a requirement to deliver 1.46ha of employment land for the whole National Park area up to the end of the Plan period. </w:t>
            </w:r>
            <w:r>
              <w:t xml:space="preserve"> </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A34177">
            <w:pPr>
              <w:jc w:val="both"/>
            </w:pPr>
            <w:r w:rsidRPr="00192933">
              <w:rPr>
                <w:b/>
              </w:rPr>
              <w:t>Recommendation</w:t>
            </w:r>
            <w:r>
              <w:t>:</w:t>
            </w:r>
          </w:p>
          <w:p w:rsidR="00941DF9" w:rsidRDefault="00941DF9" w:rsidP="00A34177">
            <w:pPr>
              <w:jc w:val="both"/>
            </w:pPr>
            <w:r>
              <w:t>This indicator is to b</w:t>
            </w:r>
            <w:r w:rsidR="00116A25">
              <w:t>e monitored until the end of 2017</w:t>
            </w:r>
            <w:r>
              <w:t>.  As no permissions have been granted for employment land uses to date, the indicator will be monitored for a further year or until the monitoring target has been reached.</w:t>
            </w:r>
          </w:p>
          <w:p w:rsidR="00116A25" w:rsidRDefault="00116A25" w:rsidP="00A34177">
            <w:pPr>
              <w:jc w:val="both"/>
            </w:pPr>
          </w:p>
          <w:p w:rsidR="00116A25" w:rsidRPr="00FD4E77" w:rsidRDefault="00116A25" w:rsidP="00A34177">
            <w:pPr>
              <w:jc w:val="both"/>
            </w:pPr>
            <w:r>
              <w:t>The matter will also be addressed as part of the LDP Review.</w:t>
            </w:r>
          </w:p>
        </w:tc>
      </w:tr>
    </w:tbl>
    <w:p w:rsidR="00657C73" w:rsidRDefault="00657C73" w:rsidP="00A34177">
      <w:pPr>
        <w:jc w:val="both"/>
        <w:rPr>
          <w:b/>
        </w:rPr>
      </w:pPr>
    </w:p>
    <w:p w:rsidR="00FA730F" w:rsidRPr="00FA730F" w:rsidRDefault="00855D5C" w:rsidP="00A34177">
      <w:pPr>
        <w:jc w:val="both"/>
        <w:rPr>
          <w:b/>
        </w:rPr>
      </w:pPr>
      <w:r>
        <w:rPr>
          <w:b/>
        </w:rPr>
        <w:t>Figure 17</w:t>
      </w:r>
    </w:p>
    <w:tbl>
      <w:tblPr>
        <w:tblStyle w:val="TableGrid"/>
        <w:tblW w:w="0" w:type="auto"/>
        <w:tblLook w:val="04A0" w:firstRow="1" w:lastRow="0" w:firstColumn="1" w:lastColumn="0" w:noHBand="0" w:noVBand="1"/>
      </w:tblPr>
      <w:tblGrid>
        <w:gridCol w:w="1516"/>
        <w:gridCol w:w="7500"/>
      </w:tblGrid>
      <w:tr w:rsidR="00A34177" w:rsidRPr="009819AC" w:rsidTr="00477566">
        <w:tc>
          <w:tcPr>
            <w:tcW w:w="9016" w:type="dxa"/>
            <w:gridSpan w:val="2"/>
            <w:shd w:val="clear" w:color="auto" w:fill="4BACC6" w:themeFill="accent5"/>
          </w:tcPr>
          <w:p w:rsidR="00A34177" w:rsidRPr="00A34177" w:rsidRDefault="00A34177" w:rsidP="008F4D94">
            <w:pPr>
              <w:jc w:val="both"/>
            </w:pPr>
            <w:r w:rsidRPr="00A34177">
              <w:rPr>
                <w:b/>
              </w:rPr>
              <w:t>Employment development in Hay-On-Wye</w:t>
            </w:r>
          </w:p>
        </w:tc>
      </w:tr>
      <w:tr w:rsidR="00941DF9" w:rsidRPr="009819AC" w:rsidTr="00D6288B">
        <w:tc>
          <w:tcPr>
            <w:tcW w:w="1516" w:type="dxa"/>
            <w:vMerge w:val="restart"/>
            <w:shd w:val="clear" w:color="auto" w:fill="00B050"/>
          </w:tcPr>
          <w:p w:rsidR="00941DF9" w:rsidRPr="00D6288B" w:rsidRDefault="00941DF9" w:rsidP="00F27C9C">
            <w:pPr>
              <w:jc w:val="center"/>
              <w:rPr>
                <w:b/>
              </w:rPr>
            </w:pPr>
            <w:r w:rsidRPr="00D6288B">
              <w:rPr>
                <w:b/>
              </w:rPr>
              <w:t>Continue Monitoring</w:t>
            </w:r>
          </w:p>
        </w:tc>
        <w:tc>
          <w:tcPr>
            <w:tcW w:w="7500" w:type="dxa"/>
            <w:shd w:val="clear" w:color="auto" w:fill="00B050"/>
          </w:tcPr>
          <w:p w:rsidR="00C5685B" w:rsidRPr="00D6288B" w:rsidRDefault="00C5685B" w:rsidP="00C5685B">
            <w:pPr>
              <w:jc w:val="both"/>
              <w:rPr>
                <w:b/>
              </w:rPr>
            </w:pPr>
            <w:r w:rsidRPr="00D6288B">
              <w:rPr>
                <w:b/>
              </w:rPr>
              <w:t>Third Monitoring Period</w:t>
            </w:r>
          </w:p>
          <w:p w:rsidR="00941DF9" w:rsidRPr="00D6288B" w:rsidRDefault="00C5685B" w:rsidP="00C5685B">
            <w:pPr>
              <w:jc w:val="both"/>
            </w:pPr>
            <w:r w:rsidRPr="00D6288B">
              <w:t>1 permission has been granted for employment generating development within Hay on Wye.</w:t>
            </w:r>
          </w:p>
        </w:tc>
      </w:tr>
      <w:tr w:rsidR="00941DF9" w:rsidRPr="009819AC" w:rsidTr="00D6288B">
        <w:tc>
          <w:tcPr>
            <w:tcW w:w="1516" w:type="dxa"/>
            <w:vMerge/>
            <w:shd w:val="clear" w:color="auto" w:fill="00B050"/>
          </w:tcPr>
          <w:p w:rsidR="00941DF9" w:rsidRPr="009819AC" w:rsidRDefault="00941DF9" w:rsidP="00F27C9C">
            <w:pPr>
              <w:jc w:val="center"/>
              <w:rPr>
                <w:b/>
              </w:rPr>
            </w:pPr>
          </w:p>
        </w:tc>
        <w:tc>
          <w:tcPr>
            <w:tcW w:w="7500" w:type="dxa"/>
            <w:shd w:val="clear" w:color="auto" w:fill="BFBFBF" w:themeFill="background1" w:themeFillShade="BF"/>
          </w:tcPr>
          <w:p w:rsidR="00941DF9" w:rsidRPr="00941DF9" w:rsidRDefault="00941DF9" w:rsidP="008F4D94">
            <w:pPr>
              <w:jc w:val="both"/>
              <w:rPr>
                <w:b/>
              </w:rPr>
            </w:pPr>
            <w:r w:rsidRPr="00941DF9">
              <w:rPr>
                <w:b/>
              </w:rPr>
              <w:t>Second Monitoring Period</w:t>
            </w:r>
          </w:p>
          <w:p w:rsidR="00941DF9" w:rsidRPr="00FD4E77" w:rsidRDefault="00941DF9" w:rsidP="008F4D94">
            <w:pPr>
              <w:jc w:val="both"/>
            </w:pPr>
            <w:r w:rsidRPr="00FD4E77">
              <w:t>0 permissions granted for employment generating development within Hay on Wye</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shd w:val="clear" w:color="auto" w:fill="D9D9D9" w:themeFill="background1" w:themeFillShade="D9"/>
          </w:tcPr>
          <w:p w:rsidR="00941DF9" w:rsidRDefault="00941DF9" w:rsidP="00A34177">
            <w:pPr>
              <w:jc w:val="both"/>
              <w:rPr>
                <w:b/>
              </w:rPr>
            </w:pPr>
            <w:r>
              <w:rPr>
                <w:b/>
              </w:rPr>
              <w:t>First Monitoring Period:</w:t>
            </w:r>
          </w:p>
          <w:p w:rsidR="00941DF9" w:rsidRDefault="00941DF9" w:rsidP="00A34177">
            <w:pPr>
              <w:jc w:val="both"/>
              <w:rPr>
                <w:b/>
              </w:rPr>
            </w:pPr>
            <w:r w:rsidRPr="00FD4E77">
              <w:t>0 permissions granted for employment generating development within Hay on Wye</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tcPr>
          <w:p w:rsidR="00941DF9" w:rsidRDefault="00941DF9" w:rsidP="00A34177">
            <w:pPr>
              <w:jc w:val="both"/>
              <w:rPr>
                <w:b/>
              </w:rPr>
            </w:pPr>
            <w:r>
              <w:rPr>
                <w:b/>
              </w:rPr>
              <w:t>Comment:</w:t>
            </w:r>
          </w:p>
          <w:p w:rsidR="00C5685B" w:rsidRPr="00D6288B" w:rsidRDefault="00D6288B" w:rsidP="00A34177">
            <w:pPr>
              <w:jc w:val="both"/>
            </w:pPr>
            <w:r>
              <w:t xml:space="preserve">Planning permission was granted under reference 16/13698/FUL at </w:t>
            </w:r>
            <w:r w:rsidR="00C5685B" w:rsidRPr="00D6288B">
              <w:t>Unit 3, The Basement</w:t>
            </w:r>
            <w:r>
              <w:t>, Hay-On-Wye</w:t>
            </w:r>
            <w:r w:rsidR="00C5685B" w:rsidRPr="00D6288B">
              <w:t xml:space="preserve"> for</w:t>
            </w:r>
            <w:r>
              <w:t xml:space="preserve"> a</w:t>
            </w:r>
            <w:r w:rsidR="00C5685B" w:rsidRPr="00D6288B">
              <w:t xml:space="preserve"> B1 use.</w:t>
            </w:r>
            <w:r>
              <w:t xml:space="preserve">  This equated to a total of 0.05ha of employment generating development land.</w:t>
            </w:r>
            <w:r w:rsidR="00C5685B" w:rsidRPr="00D6288B">
              <w:t xml:space="preserve"> </w:t>
            </w:r>
          </w:p>
          <w:p w:rsidR="00C5685B" w:rsidRDefault="00C5685B" w:rsidP="00A34177">
            <w:pPr>
              <w:jc w:val="both"/>
              <w:rPr>
                <w:b/>
              </w:rPr>
            </w:pPr>
          </w:p>
          <w:p w:rsidR="00941DF9" w:rsidRPr="00F27C9C" w:rsidRDefault="00941DF9" w:rsidP="00477566">
            <w:pPr>
              <w:jc w:val="both"/>
            </w:pPr>
            <w:r w:rsidRPr="00F27C9C">
              <w:t>This indicator was included as a result of planning permission being granted for a community use on land allocated for employment use prio</w:t>
            </w:r>
            <w:r>
              <w:t>r to the Adoption of the LDP.</w:t>
            </w:r>
            <w:r w:rsidRPr="00F27C9C">
              <w:t xml:space="preserve"> </w:t>
            </w:r>
            <w:r>
              <w:t xml:space="preserve"> </w:t>
            </w:r>
            <w:r w:rsidRPr="00F27C9C">
              <w:t>An assessment would be triggered if 0.6 ha of employment land is not granted planning permission within or beyond the Hay-on-Wye settlement by 2017.</w:t>
            </w:r>
          </w:p>
          <w:p w:rsidR="00941DF9" w:rsidRPr="00F27C9C" w:rsidRDefault="00941DF9" w:rsidP="00477566">
            <w:pPr>
              <w:jc w:val="both"/>
            </w:pPr>
          </w:p>
          <w:p w:rsidR="00941DF9" w:rsidRDefault="00941DF9" w:rsidP="00477566">
            <w:pPr>
              <w:jc w:val="both"/>
            </w:pPr>
            <w:r w:rsidRPr="00F27C9C">
              <w:lastRenderedPageBreak/>
              <w:t xml:space="preserve">It should be noted that the Authority’s Employment Land Review identified a requirement to deliver 1.46ha of employment land for the whole National Park area up to the end of the Plan period.  </w:t>
            </w:r>
          </w:p>
          <w:p w:rsidR="00941DF9" w:rsidRDefault="00941DF9" w:rsidP="00477566">
            <w:pPr>
              <w:jc w:val="both"/>
            </w:pPr>
          </w:p>
          <w:p w:rsidR="00941DF9" w:rsidRPr="00FD4E77" w:rsidRDefault="00941DF9" w:rsidP="00477566">
            <w:pPr>
              <w:jc w:val="both"/>
            </w:pPr>
            <w:r>
              <w:t>In addition, a 4.2 ha mixed use allocation comprising 2.4 ha of employment land is proposed to be allocated in Powys County Council’s Deposit Local Development Plan.  The site is referred to as Land at Gypsy Castle Lane (Site Ref: MUA 1) is located immediately adjacent to the Hay-on-Wye settlement boundary.  It is considered that the development of this site would satisfy the requirements of this indicator.</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tcPr>
          <w:p w:rsidR="00941DF9" w:rsidRPr="00496DF3" w:rsidRDefault="00941DF9" w:rsidP="00A34177">
            <w:pPr>
              <w:jc w:val="both"/>
            </w:pPr>
            <w:r w:rsidRPr="00496DF3">
              <w:rPr>
                <w:b/>
              </w:rPr>
              <w:t>Recommendation</w:t>
            </w:r>
            <w:r w:rsidRPr="00496DF3">
              <w:t>:</w:t>
            </w:r>
          </w:p>
          <w:p w:rsidR="00D6288B" w:rsidRDefault="00D6288B" w:rsidP="00D6288B">
            <w:pPr>
              <w:jc w:val="both"/>
            </w:pPr>
            <w:r>
              <w:t>This indicator is to be monitored until the end of 2017.  As no permissions have been granted for employment land uses to date, the indicator will be monitored for a further year or until the monitoring target has been reached.</w:t>
            </w:r>
          </w:p>
          <w:p w:rsidR="00D6288B" w:rsidRDefault="00D6288B" w:rsidP="00D6288B">
            <w:pPr>
              <w:jc w:val="both"/>
            </w:pPr>
          </w:p>
          <w:p w:rsidR="00941DF9" w:rsidRPr="00FD4E77" w:rsidRDefault="00D6288B" w:rsidP="00D6288B">
            <w:pPr>
              <w:jc w:val="both"/>
            </w:pPr>
            <w:r>
              <w:t>The matter will also be addressed as part of the LDP Review.</w:t>
            </w:r>
          </w:p>
        </w:tc>
      </w:tr>
    </w:tbl>
    <w:p w:rsidR="00EE0B28" w:rsidRDefault="00EE0B28" w:rsidP="00477566">
      <w:pPr>
        <w:jc w:val="both"/>
        <w:rPr>
          <w:b/>
        </w:rPr>
      </w:pPr>
    </w:p>
    <w:p w:rsidR="00477566" w:rsidRPr="00855D5C" w:rsidRDefault="00477566" w:rsidP="00477566">
      <w:pPr>
        <w:jc w:val="both"/>
        <w:rPr>
          <w:b/>
        </w:rPr>
      </w:pPr>
      <w:r w:rsidRPr="00855D5C">
        <w:rPr>
          <w:b/>
        </w:rPr>
        <w:t>Figure 18</w:t>
      </w:r>
    </w:p>
    <w:tbl>
      <w:tblPr>
        <w:tblStyle w:val="TableGrid"/>
        <w:tblW w:w="0" w:type="auto"/>
        <w:tblLook w:val="04A0" w:firstRow="1" w:lastRow="0" w:firstColumn="1" w:lastColumn="0" w:noHBand="0" w:noVBand="1"/>
      </w:tblPr>
      <w:tblGrid>
        <w:gridCol w:w="1515"/>
        <w:gridCol w:w="7501"/>
      </w:tblGrid>
      <w:tr w:rsidR="00477566" w:rsidRPr="009819AC" w:rsidTr="005D0DA1">
        <w:tc>
          <w:tcPr>
            <w:tcW w:w="9242" w:type="dxa"/>
            <w:gridSpan w:val="2"/>
            <w:shd w:val="clear" w:color="auto" w:fill="4BACC6" w:themeFill="accent5"/>
          </w:tcPr>
          <w:p w:rsidR="00477566" w:rsidRPr="00A34177" w:rsidRDefault="00477566" w:rsidP="005D0DA1">
            <w:pPr>
              <w:jc w:val="both"/>
            </w:pPr>
            <w:r w:rsidRPr="00A34177">
              <w:rPr>
                <w:b/>
              </w:rPr>
              <w:t xml:space="preserve">Supplementary Planning Guidance  </w:t>
            </w:r>
          </w:p>
        </w:tc>
      </w:tr>
      <w:tr w:rsidR="00477566" w:rsidRPr="009819AC" w:rsidTr="00BE740A">
        <w:tc>
          <w:tcPr>
            <w:tcW w:w="1526" w:type="dxa"/>
            <w:vMerge w:val="restart"/>
            <w:shd w:val="clear" w:color="auto" w:fill="00B0F0"/>
          </w:tcPr>
          <w:p w:rsidR="00477566" w:rsidRPr="009819AC" w:rsidRDefault="00477566" w:rsidP="005D0DA1">
            <w:pPr>
              <w:jc w:val="center"/>
              <w:rPr>
                <w:b/>
              </w:rPr>
            </w:pPr>
            <w:r>
              <w:rPr>
                <w:b/>
              </w:rPr>
              <w:t>Completed during previous monitoring period</w:t>
            </w:r>
          </w:p>
        </w:tc>
        <w:tc>
          <w:tcPr>
            <w:tcW w:w="7716" w:type="dxa"/>
            <w:shd w:val="clear" w:color="auto" w:fill="00B0F0"/>
          </w:tcPr>
          <w:p w:rsidR="00477566" w:rsidRPr="00DD194F" w:rsidRDefault="00477566" w:rsidP="005D0DA1">
            <w:pPr>
              <w:jc w:val="both"/>
            </w:pPr>
            <w:r w:rsidRPr="00DD194F">
              <w:t>Members have endorsed the Farm Diversification Supplementary Planning Guidance for use in the determination of relevant planning applications.</w:t>
            </w:r>
          </w:p>
        </w:tc>
      </w:tr>
      <w:tr w:rsidR="00477566" w:rsidRPr="009819AC" w:rsidTr="005D0DA1">
        <w:tc>
          <w:tcPr>
            <w:tcW w:w="1526" w:type="dxa"/>
            <w:vMerge/>
            <w:shd w:val="clear" w:color="auto" w:fill="00B0F0"/>
          </w:tcPr>
          <w:p w:rsidR="00477566" w:rsidRDefault="00477566" w:rsidP="005D0DA1">
            <w:pPr>
              <w:jc w:val="center"/>
              <w:rPr>
                <w:b/>
              </w:rPr>
            </w:pPr>
          </w:p>
        </w:tc>
        <w:tc>
          <w:tcPr>
            <w:tcW w:w="7716" w:type="dxa"/>
          </w:tcPr>
          <w:p w:rsidR="00477566" w:rsidRPr="00A34177" w:rsidRDefault="00477566" w:rsidP="005D0DA1">
            <w:pPr>
              <w:jc w:val="both"/>
              <w:rPr>
                <w:b/>
              </w:rPr>
            </w:pPr>
            <w:r w:rsidRPr="00A34177">
              <w:rPr>
                <w:b/>
              </w:rPr>
              <w:t>Comments:</w:t>
            </w:r>
          </w:p>
          <w:p w:rsidR="00477566" w:rsidRPr="00DD194F" w:rsidRDefault="00477566" w:rsidP="005D0DA1">
            <w:pPr>
              <w:jc w:val="both"/>
            </w:pPr>
            <w:r>
              <w:t>None.</w:t>
            </w:r>
          </w:p>
        </w:tc>
      </w:tr>
      <w:tr w:rsidR="00477566" w:rsidRPr="009819AC" w:rsidTr="005D0DA1">
        <w:tc>
          <w:tcPr>
            <w:tcW w:w="1526" w:type="dxa"/>
            <w:vMerge/>
            <w:shd w:val="clear" w:color="auto" w:fill="00B0F0"/>
          </w:tcPr>
          <w:p w:rsidR="00477566" w:rsidRDefault="00477566" w:rsidP="005D0DA1">
            <w:pPr>
              <w:jc w:val="center"/>
              <w:rPr>
                <w:b/>
              </w:rPr>
            </w:pPr>
          </w:p>
        </w:tc>
        <w:tc>
          <w:tcPr>
            <w:tcW w:w="7716" w:type="dxa"/>
          </w:tcPr>
          <w:p w:rsidR="00477566" w:rsidRPr="00496DF3" w:rsidRDefault="00477566" w:rsidP="005D0DA1">
            <w:pPr>
              <w:jc w:val="both"/>
              <w:rPr>
                <w:b/>
              </w:rPr>
            </w:pPr>
            <w:r w:rsidRPr="00496DF3">
              <w:rPr>
                <w:b/>
              </w:rPr>
              <w:t>Recommendation:</w:t>
            </w:r>
          </w:p>
          <w:p w:rsidR="00477566" w:rsidRPr="00DD194F" w:rsidRDefault="00477566" w:rsidP="005D0DA1">
            <w:pPr>
              <w:jc w:val="both"/>
            </w:pPr>
            <w:r w:rsidRPr="00496DF3">
              <w:t>The relevant S</w:t>
            </w:r>
            <w:r>
              <w:t xml:space="preserve">upplementary </w:t>
            </w:r>
            <w:r w:rsidRPr="00496DF3">
              <w:t>P</w:t>
            </w:r>
            <w:r>
              <w:t xml:space="preserve">lanning </w:t>
            </w:r>
            <w:r w:rsidRPr="00496DF3">
              <w:t>G</w:t>
            </w:r>
            <w:r>
              <w:t>uidance</w:t>
            </w:r>
            <w:r w:rsidRPr="00496DF3">
              <w:t xml:space="preserve"> has been completed.  Accordingly, no further monitoring is required.</w:t>
            </w:r>
          </w:p>
        </w:tc>
      </w:tr>
    </w:tbl>
    <w:p w:rsidR="00477566" w:rsidRPr="00496DF3" w:rsidRDefault="00477566" w:rsidP="00477566">
      <w:pPr>
        <w:jc w:val="both"/>
        <w:rPr>
          <w:b/>
        </w:rPr>
      </w:pPr>
    </w:p>
    <w:p w:rsidR="007F1814" w:rsidRDefault="007F1814" w:rsidP="00A34177">
      <w:pPr>
        <w:jc w:val="both"/>
      </w:pPr>
    </w:p>
    <w:p w:rsidR="00855D5C" w:rsidRPr="00855D5C" w:rsidRDefault="00855D5C" w:rsidP="00A34177">
      <w:pPr>
        <w:jc w:val="both"/>
        <w:rPr>
          <w:b/>
        </w:rPr>
      </w:pPr>
    </w:p>
    <w:p w:rsidR="004A6384" w:rsidRPr="007467EF" w:rsidRDefault="004A6384" w:rsidP="004A6384">
      <w:pPr>
        <w:jc w:val="both"/>
        <w:rPr>
          <w:b/>
          <w:sz w:val="24"/>
          <w:szCs w:val="24"/>
          <w:u w:val="single"/>
        </w:rPr>
      </w:pPr>
      <w:r w:rsidRPr="007467EF">
        <w:rPr>
          <w:b/>
          <w:sz w:val="24"/>
          <w:szCs w:val="24"/>
          <w:u w:val="single"/>
        </w:rPr>
        <w:t xml:space="preserve">Policy Monitoring </w:t>
      </w:r>
    </w:p>
    <w:p w:rsidR="004A6384" w:rsidRDefault="004A6384" w:rsidP="004A6384">
      <w:pPr>
        <w:jc w:val="both"/>
        <w:rPr>
          <w:b/>
          <w:sz w:val="24"/>
          <w:szCs w:val="24"/>
        </w:rPr>
      </w:pPr>
    </w:p>
    <w:p w:rsidR="00657C73" w:rsidRDefault="004668D1" w:rsidP="007467EF">
      <w:pPr>
        <w:jc w:val="both"/>
        <w:rPr>
          <w:b/>
          <w:sz w:val="24"/>
          <w:szCs w:val="24"/>
        </w:rPr>
      </w:pPr>
      <w:r w:rsidRPr="007467EF">
        <w:rPr>
          <w:b/>
          <w:sz w:val="24"/>
          <w:szCs w:val="24"/>
        </w:rPr>
        <w:t>Environmental Protection</w:t>
      </w:r>
      <w:r w:rsidR="00C007DA" w:rsidRPr="007467EF">
        <w:rPr>
          <w:b/>
          <w:sz w:val="24"/>
          <w:szCs w:val="24"/>
        </w:rPr>
        <w:t xml:space="preserve"> </w:t>
      </w:r>
    </w:p>
    <w:p w:rsidR="006E5346" w:rsidRDefault="006E5346" w:rsidP="007467EF">
      <w:pPr>
        <w:jc w:val="both"/>
        <w:rPr>
          <w:b/>
        </w:rPr>
      </w:pPr>
    </w:p>
    <w:p w:rsidR="00855D5C" w:rsidRPr="00855D5C" w:rsidRDefault="00855D5C" w:rsidP="007467EF">
      <w:pPr>
        <w:jc w:val="both"/>
        <w:rPr>
          <w:b/>
        </w:rPr>
      </w:pPr>
      <w:r>
        <w:rPr>
          <w:b/>
        </w:rPr>
        <w:t>Figure 19</w:t>
      </w:r>
    </w:p>
    <w:tbl>
      <w:tblPr>
        <w:tblStyle w:val="TableGrid"/>
        <w:tblW w:w="0" w:type="auto"/>
        <w:tblLook w:val="04A0" w:firstRow="1" w:lastRow="0" w:firstColumn="1" w:lastColumn="0" w:noHBand="0" w:noVBand="1"/>
      </w:tblPr>
      <w:tblGrid>
        <w:gridCol w:w="1516"/>
        <w:gridCol w:w="7500"/>
      </w:tblGrid>
      <w:tr w:rsidR="00A34177" w:rsidRPr="009819AC" w:rsidTr="00477566">
        <w:tc>
          <w:tcPr>
            <w:tcW w:w="9016" w:type="dxa"/>
            <w:gridSpan w:val="2"/>
            <w:shd w:val="clear" w:color="auto" w:fill="4BACC6" w:themeFill="accent5"/>
          </w:tcPr>
          <w:p w:rsidR="00A34177" w:rsidRPr="00A34177" w:rsidRDefault="00A34177" w:rsidP="009819AC">
            <w:pPr>
              <w:jc w:val="both"/>
            </w:pPr>
            <w:r w:rsidRPr="00A34177">
              <w:rPr>
                <w:b/>
              </w:rPr>
              <w:t>Land in the Countryside lost to development by way of departure from CYD LP1</w:t>
            </w:r>
          </w:p>
        </w:tc>
      </w:tr>
      <w:tr w:rsidR="00642494" w:rsidRPr="009819AC" w:rsidTr="00D6288B">
        <w:tc>
          <w:tcPr>
            <w:tcW w:w="1516" w:type="dxa"/>
            <w:vMerge w:val="restart"/>
            <w:shd w:val="clear" w:color="auto" w:fill="00B050"/>
          </w:tcPr>
          <w:p w:rsidR="00642494" w:rsidRDefault="00642494" w:rsidP="003B0127">
            <w:pPr>
              <w:jc w:val="center"/>
              <w:rPr>
                <w:b/>
              </w:rPr>
            </w:pPr>
            <w:r>
              <w:rPr>
                <w:b/>
              </w:rPr>
              <w:t>Continue Monitoring</w:t>
            </w:r>
          </w:p>
        </w:tc>
        <w:tc>
          <w:tcPr>
            <w:tcW w:w="7500" w:type="dxa"/>
            <w:shd w:val="clear" w:color="auto" w:fill="00B050"/>
          </w:tcPr>
          <w:p w:rsidR="00C5685B" w:rsidRPr="00D6288B" w:rsidRDefault="00C5685B" w:rsidP="00C5685B">
            <w:pPr>
              <w:jc w:val="both"/>
              <w:rPr>
                <w:b/>
              </w:rPr>
            </w:pPr>
            <w:r w:rsidRPr="00D6288B">
              <w:rPr>
                <w:b/>
              </w:rPr>
              <w:t>Third Monitoring Period</w:t>
            </w:r>
          </w:p>
          <w:p w:rsidR="00642494" w:rsidRDefault="00C5685B" w:rsidP="00C5685B">
            <w:pPr>
              <w:jc w:val="both"/>
            </w:pPr>
            <w:r w:rsidRPr="00D6288B">
              <w:lastRenderedPageBreak/>
              <w:t>0 permissions granted by way of departure to CYD LP1 with land in the Countryside lost to development.</w:t>
            </w:r>
          </w:p>
          <w:p w:rsidR="00C5685B" w:rsidRDefault="00C5685B" w:rsidP="00C5685B">
            <w:pPr>
              <w:jc w:val="both"/>
            </w:pPr>
          </w:p>
        </w:tc>
      </w:tr>
      <w:tr w:rsidR="00642494" w:rsidRPr="009819AC" w:rsidTr="00D6288B">
        <w:tc>
          <w:tcPr>
            <w:tcW w:w="1516" w:type="dxa"/>
            <w:vMerge/>
            <w:shd w:val="clear" w:color="auto" w:fill="00B050"/>
          </w:tcPr>
          <w:p w:rsidR="00642494" w:rsidRPr="009819AC" w:rsidRDefault="00642494" w:rsidP="003B0127">
            <w:pPr>
              <w:jc w:val="center"/>
              <w:rPr>
                <w:b/>
              </w:rPr>
            </w:pPr>
          </w:p>
        </w:tc>
        <w:tc>
          <w:tcPr>
            <w:tcW w:w="7500" w:type="dxa"/>
            <w:shd w:val="clear" w:color="auto" w:fill="BFBFBF" w:themeFill="background1" w:themeFillShade="BF"/>
          </w:tcPr>
          <w:p w:rsidR="00642494" w:rsidRPr="00642494" w:rsidRDefault="00642494" w:rsidP="00836157">
            <w:pPr>
              <w:jc w:val="both"/>
              <w:rPr>
                <w:b/>
              </w:rPr>
            </w:pPr>
            <w:r w:rsidRPr="00642494">
              <w:rPr>
                <w:b/>
              </w:rPr>
              <w:t>Second Monitoring Period</w:t>
            </w:r>
          </w:p>
          <w:p w:rsidR="00642494" w:rsidRPr="00EA5843" w:rsidRDefault="00642494" w:rsidP="00836157">
            <w:pPr>
              <w:jc w:val="both"/>
            </w:pPr>
            <w:r>
              <w:t xml:space="preserve">One permission granted by way of departure to CYD LP1 amounting to a </w:t>
            </w:r>
            <w:r w:rsidRPr="00EA5843">
              <w:t>Change of use of lay by land by virtue of Temporary Consent requested for 3 years - positioning of unit (4.175m x 2.02m) for serving snacks/drinks</w:t>
            </w: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shd w:val="clear" w:color="auto" w:fill="D9D9D9" w:themeFill="background1" w:themeFillShade="D9"/>
          </w:tcPr>
          <w:p w:rsidR="00642494" w:rsidRDefault="00642494" w:rsidP="00477566">
            <w:pPr>
              <w:jc w:val="both"/>
            </w:pPr>
            <w:r>
              <w:rPr>
                <w:b/>
              </w:rPr>
              <w:t>First</w:t>
            </w:r>
            <w:r w:rsidRPr="009413F9">
              <w:rPr>
                <w:b/>
              </w:rPr>
              <w:t xml:space="preserve"> Monitoring Period</w:t>
            </w:r>
            <w:r>
              <w:t>:</w:t>
            </w:r>
          </w:p>
          <w:p w:rsidR="00642494" w:rsidRDefault="00642494" w:rsidP="00477566">
            <w:pPr>
              <w:jc w:val="both"/>
            </w:pPr>
            <w:r w:rsidRPr="00FD4E77">
              <w:t>Temporary permission for siting of shipping containers for storage for Community Facility amounting</w:t>
            </w:r>
            <w:r>
              <w:t xml:space="preserve"> to the temporary loss of 0.15 hectares</w:t>
            </w:r>
            <w:r w:rsidRPr="00FD4E77">
              <w:t xml:space="preserve"> of countryside.</w:t>
            </w:r>
          </w:p>
          <w:p w:rsidR="00642494" w:rsidRPr="00FD4E77" w:rsidRDefault="00642494" w:rsidP="00477566">
            <w:pPr>
              <w:jc w:val="both"/>
            </w:pPr>
          </w:p>
          <w:p w:rsidR="00642494" w:rsidRDefault="00642494" w:rsidP="00477566">
            <w:pPr>
              <w:jc w:val="both"/>
            </w:pPr>
            <w:r w:rsidRPr="00FD4E77">
              <w:t xml:space="preserve">Permission granted </w:t>
            </w:r>
            <w:r>
              <w:t>for the d</w:t>
            </w:r>
            <w:r w:rsidRPr="003B0127">
              <w:t>emolition of attached outbuildings, the formal change of use of the land upon which they stand to residential, the construction of a replacement extension to the existing dwelling and the retention of two windows</w:t>
            </w:r>
            <w:r>
              <w:t xml:space="preserve"> amounting to the loss of 0.01 hectares</w:t>
            </w:r>
            <w:r w:rsidRPr="00FD4E77">
              <w:t xml:space="preserve"> land designated as countryside.</w:t>
            </w:r>
          </w:p>
          <w:p w:rsidR="00642494" w:rsidRPr="00FD4E77" w:rsidRDefault="00642494" w:rsidP="00477566">
            <w:pPr>
              <w:jc w:val="both"/>
            </w:pPr>
          </w:p>
          <w:p w:rsidR="00642494" w:rsidRPr="00FD4E77" w:rsidRDefault="00642494" w:rsidP="00477566">
            <w:pPr>
              <w:jc w:val="both"/>
            </w:pPr>
            <w:r w:rsidRPr="00FD4E77">
              <w:t xml:space="preserve">Permission granted regularising extension of residential curtilage into open countryside </w:t>
            </w:r>
            <w:r>
              <w:t>amounting to the loss of 0.16 hectares</w:t>
            </w:r>
            <w:r w:rsidRPr="00FD4E77">
              <w:t xml:space="preserve"> land designated as countryside.</w:t>
            </w:r>
          </w:p>
          <w:p w:rsidR="00642494" w:rsidRPr="00FD4E77" w:rsidRDefault="00642494" w:rsidP="00477566">
            <w:pPr>
              <w:jc w:val="both"/>
            </w:pPr>
          </w:p>
          <w:p w:rsidR="00642494" w:rsidRPr="009819AC" w:rsidRDefault="00642494" w:rsidP="00477566">
            <w:pPr>
              <w:jc w:val="both"/>
              <w:rPr>
                <w:b/>
              </w:rPr>
            </w:pPr>
            <w:r w:rsidRPr="00FD4E77">
              <w:t xml:space="preserve">In total 0.15Ha </w:t>
            </w:r>
            <w:r>
              <w:t>temporary loss and 0.17 hectares permane</w:t>
            </w:r>
            <w:r w:rsidRPr="00FD4E77">
              <w:t>nt loss</w:t>
            </w: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tcPr>
          <w:p w:rsidR="00642494" w:rsidRDefault="00642494" w:rsidP="00477566">
            <w:pPr>
              <w:jc w:val="both"/>
            </w:pPr>
            <w:r w:rsidRPr="00643184">
              <w:rPr>
                <w:b/>
              </w:rPr>
              <w:t>Comment</w:t>
            </w:r>
            <w:r>
              <w:t>:</w:t>
            </w:r>
          </w:p>
          <w:p w:rsidR="00642494" w:rsidRDefault="00642494" w:rsidP="003B066D">
            <w:pPr>
              <w:jc w:val="both"/>
            </w:pPr>
            <w:r>
              <w:t>Development Management Officers were provided with training from the Strategy and Policy Team</w:t>
            </w:r>
            <w:r w:rsidR="00D6288B">
              <w:t xml:space="preserve"> following the first monitoring period</w:t>
            </w:r>
            <w:r>
              <w:t xml:space="preserve"> to ensure that the policy was being interpreted appropriately. </w:t>
            </w:r>
          </w:p>
          <w:p w:rsidR="00642494" w:rsidRDefault="00642494" w:rsidP="003B066D">
            <w:pPr>
              <w:jc w:val="both"/>
            </w:pPr>
          </w:p>
          <w:p w:rsidR="00642494" w:rsidRDefault="00642494" w:rsidP="003B066D">
            <w:pPr>
              <w:jc w:val="both"/>
            </w:pPr>
            <w:r>
              <w:t>To this end, it should be noted that instances of</w:t>
            </w:r>
            <w:r w:rsidR="00D6288B">
              <w:t xml:space="preserve"> departure from this policy</w:t>
            </w:r>
            <w:r>
              <w:t xml:space="preserve"> redu</w:t>
            </w:r>
            <w:r w:rsidR="00D6288B">
              <w:t>ced significantly during the second monitoring period and, for this period, reduced to zero.</w:t>
            </w:r>
            <w:r>
              <w:t xml:space="preserve"> </w:t>
            </w:r>
          </w:p>
          <w:p w:rsidR="00642494" w:rsidRPr="00FD4E77" w:rsidRDefault="00642494" w:rsidP="00477566">
            <w:pPr>
              <w:jc w:val="both"/>
            </w:pP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tcPr>
          <w:p w:rsidR="00642494" w:rsidRDefault="00642494" w:rsidP="00477566">
            <w:pPr>
              <w:jc w:val="both"/>
            </w:pPr>
            <w:r w:rsidRPr="00FB2B3B">
              <w:rPr>
                <w:b/>
              </w:rPr>
              <w:t>Recommendation</w:t>
            </w:r>
            <w:r>
              <w:t>:</w:t>
            </w:r>
          </w:p>
          <w:p w:rsidR="00642494" w:rsidRPr="00FD4E77" w:rsidRDefault="00642494" w:rsidP="00477566">
            <w:pPr>
              <w:jc w:val="both"/>
            </w:pPr>
            <w:r>
              <w:t xml:space="preserve">It is recommended that the monitoring of this indicator continues. </w:t>
            </w:r>
          </w:p>
        </w:tc>
      </w:tr>
    </w:tbl>
    <w:p w:rsidR="00657C73" w:rsidRDefault="00657C73" w:rsidP="007467EF">
      <w:pPr>
        <w:jc w:val="both"/>
        <w:rPr>
          <w:b/>
          <w:i/>
        </w:rPr>
      </w:pPr>
    </w:p>
    <w:p w:rsidR="00855D5C" w:rsidRDefault="00855D5C" w:rsidP="007467EF">
      <w:pPr>
        <w:jc w:val="both"/>
        <w:rPr>
          <w:b/>
          <w:i/>
        </w:rPr>
      </w:pPr>
    </w:p>
    <w:p w:rsidR="00855D5C" w:rsidRPr="00855D5C" w:rsidRDefault="00855D5C" w:rsidP="007467EF">
      <w:pPr>
        <w:jc w:val="both"/>
        <w:rPr>
          <w:b/>
        </w:rPr>
      </w:pPr>
      <w:r>
        <w:rPr>
          <w:b/>
        </w:rPr>
        <w:t>Figure 20</w:t>
      </w:r>
      <w:r w:rsidR="003B066D">
        <w:rPr>
          <w:b/>
        </w:rPr>
        <w:t xml:space="preserve"> </w:t>
      </w:r>
    </w:p>
    <w:tbl>
      <w:tblPr>
        <w:tblStyle w:val="TableGrid"/>
        <w:tblW w:w="0" w:type="auto"/>
        <w:tblLook w:val="04A0" w:firstRow="1" w:lastRow="0" w:firstColumn="1" w:lastColumn="0" w:noHBand="0" w:noVBand="1"/>
      </w:tblPr>
      <w:tblGrid>
        <w:gridCol w:w="1514"/>
        <w:gridCol w:w="7502"/>
      </w:tblGrid>
      <w:tr w:rsidR="00A34177" w:rsidRPr="009819AC" w:rsidTr="00642494">
        <w:tc>
          <w:tcPr>
            <w:tcW w:w="9016" w:type="dxa"/>
            <w:gridSpan w:val="2"/>
            <w:shd w:val="clear" w:color="auto" w:fill="4BACC6" w:themeFill="accent5"/>
          </w:tcPr>
          <w:p w:rsidR="00A34177" w:rsidRPr="003D1FCF" w:rsidRDefault="00A34177" w:rsidP="009819AC">
            <w:pPr>
              <w:jc w:val="both"/>
            </w:pPr>
            <w:r w:rsidRPr="003D1FCF">
              <w:rPr>
                <w:b/>
              </w:rPr>
              <w:t xml:space="preserve">Development with an adverse impact on Historic Landscape Designations </w:t>
            </w:r>
          </w:p>
        </w:tc>
      </w:tr>
      <w:tr w:rsidR="00642494" w:rsidRPr="009819AC" w:rsidTr="00D6288B">
        <w:tc>
          <w:tcPr>
            <w:tcW w:w="1514" w:type="dxa"/>
            <w:vMerge w:val="restart"/>
            <w:shd w:val="clear" w:color="auto" w:fill="00B050"/>
          </w:tcPr>
          <w:p w:rsidR="00642494" w:rsidRDefault="00642494" w:rsidP="00FB2B3B">
            <w:pPr>
              <w:jc w:val="center"/>
              <w:rPr>
                <w:b/>
              </w:rPr>
            </w:pPr>
            <w:r>
              <w:rPr>
                <w:b/>
              </w:rPr>
              <w:t>Continue Monitoring</w:t>
            </w:r>
          </w:p>
        </w:tc>
        <w:tc>
          <w:tcPr>
            <w:tcW w:w="7502" w:type="dxa"/>
            <w:shd w:val="clear" w:color="auto" w:fill="00B050"/>
          </w:tcPr>
          <w:p w:rsidR="00C5685B" w:rsidRPr="00D6288B" w:rsidRDefault="00C5685B" w:rsidP="00C5685B">
            <w:pPr>
              <w:tabs>
                <w:tab w:val="left" w:pos="4704"/>
              </w:tabs>
              <w:jc w:val="both"/>
              <w:rPr>
                <w:b/>
              </w:rPr>
            </w:pPr>
            <w:r w:rsidRPr="00D6288B">
              <w:rPr>
                <w:b/>
              </w:rPr>
              <w:t>Third Monitoring Period</w:t>
            </w:r>
            <w:r w:rsidRPr="00D6288B">
              <w:rPr>
                <w:b/>
              </w:rPr>
              <w:tab/>
            </w:r>
          </w:p>
          <w:p w:rsidR="00642494" w:rsidRPr="00642494" w:rsidRDefault="00C5685B" w:rsidP="00C5685B">
            <w:pPr>
              <w:tabs>
                <w:tab w:val="left" w:pos="4704"/>
              </w:tabs>
              <w:jc w:val="both"/>
              <w:rPr>
                <w:b/>
              </w:rPr>
            </w:pPr>
            <w:r w:rsidRPr="00D6288B">
              <w:lastRenderedPageBreak/>
              <w:t>No planning permissions have been granted which would result in an adverse impact on Historic Landscape Designations.</w:t>
            </w:r>
          </w:p>
        </w:tc>
      </w:tr>
      <w:tr w:rsidR="00642494" w:rsidRPr="009819AC" w:rsidTr="00D6288B">
        <w:tc>
          <w:tcPr>
            <w:tcW w:w="1514" w:type="dxa"/>
            <w:vMerge/>
            <w:shd w:val="clear" w:color="auto" w:fill="00B050"/>
          </w:tcPr>
          <w:p w:rsidR="00642494" w:rsidRPr="009819AC" w:rsidRDefault="00642494" w:rsidP="00FB2B3B">
            <w:pPr>
              <w:jc w:val="center"/>
              <w:rPr>
                <w:b/>
              </w:rPr>
            </w:pPr>
          </w:p>
        </w:tc>
        <w:tc>
          <w:tcPr>
            <w:tcW w:w="7502" w:type="dxa"/>
            <w:shd w:val="clear" w:color="auto" w:fill="BFBFBF" w:themeFill="background1" w:themeFillShade="BF"/>
          </w:tcPr>
          <w:p w:rsidR="00642494" w:rsidRPr="00642494" w:rsidRDefault="00642494" w:rsidP="00642494">
            <w:pPr>
              <w:tabs>
                <w:tab w:val="left" w:pos="4704"/>
              </w:tabs>
              <w:jc w:val="both"/>
              <w:rPr>
                <w:b/>
              </w:rPr>
            </w:pPr>
            <w:r w:rsidRPr="00642494">
              <w:rPr>
                <w:b/>
              </w:rPr>
              <w:t>Second Monitoring Period</w:t>
            </w:r>
            <w:r>
              <w:rPr>
                <w:b/>
              </w:rPr>
              <w:tab/>
            </w:r>
          </w:p>
          <w:p w:rsidR="00642494" w:rsidRPr="00FD4E77" w:rsidRDefault="00642494" w:rsidP="004F1BF5">
            <w:pPr>
              <w:jc w:val="both"/>
            </w:pPr>
            <w:r w:rsidRPr="00FD4E77">
              <w:t xml:space="preserve">No planning permissions have been granted which would result in an adverse impact on </w:t>
            </w:r>
            <w:r>
              <w:t>Historic Landscape Designations.</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shd w:val="clear" w:color="auto" w:fill="D9D9D9" w:themeFill="background1" w:themeFillShade="D9"/>
          </w:tcPr>
          <w:p w:rsidR="00642494" w:rsidRDefault="00642494" w:rsidP="009819AC">
            <w:pPr>
              <w:jc w:val="both"/>
              <w:rPr>
                <w:b/>
              </w:rPr>
            </w:pPr>
            <w:r>
              <w:rPr>
                <w:b/>
              </w:rPr>
              <w:t>First Monitoring Period:</w:t>
            </w:r>
          </w:p>
          <w:p w:rsidR="00642494" w:rsidRPr="009413F9" w:rsidRDefault="00642494" w:rsidP="009819AC">
            <w:pPr>
              <w:jc w:val="both"/>
            </w:pPr>
            <w:r w:rsidRPr="009413F9">
              <w:t>No planning permissions have been granted which would result in an adverse impact on Historic Landscape Designations.</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tcPr>
          <w:p w:rsidR="00642494" w:rsidRPr="003D1FCF" w:rsidRDefault="00642494" w:rsidP="009819AC">
            <w:pPr>
              <w:jc w:val="both"/>
              <w:rPr>
                <w:b/>
              </w:rPr>
            </w:pPr>
            <w:r w:rsidRPr="003D1FCF">
              <w:rPr>
                <w:b/>
              </w:rPr>
              <w:t>Comments:</w:t>
            </w:r>
          </w:p>
          <w:p w:rsidR="00642494" w:rsidRPr="00FD4E77" w:rsidRDefault="00642494" w:rsidP="009819AC">
            <w:pPr>
              <w:jc w:val="both"/>
            </w:pPr>
            <w:r>
              <w:t>None.</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tcPr>
          <w:p w:rsidR="00642494" w:rsidRPr="00EC084D" w:rsidRDefault="00642494" w:rsidP="003D1FCF">
            <w:pPr>
              <w:jc w:val="both"/>
              <w:rPr>
                <w:b/>
              </w:rPr>
            </w:pPr>
            <w:r w:rsidRPr="00EC084D">
              <w:rPr>
                <w:b/>
              </w:rPr>
              <w:t>Recommendation:</w:t>
            </w:r>
          </w:p>
          <w:p w:rsidR="00642494" w:rsidRPr="00FD4E77" w:rsidRDefault="00642494" w:rsidP="003D1FCF">
            <w:pPr>
              <w:jc w:val="both"/>
            </w:pPr>
            <w:r>
              <w:t>The requirement of this indicator is being met.  It is, however, considered to be an important indicator and will continue to be monitored.</w:t>
            </w:r>
          </w:p>
        </w:tc>
      </w:tr>
    </w:tbl>
    <w:p w:rsidR="00657C73" w:rsidRDefault="00657C73" w:rsidP="006D1117">
      <w:pPr>
        <w:jc w:val="both"/>
        <w:rPr>
          <w:b/>
          <w:i/>
        </w:rPr>
      </w:pPr>
    </w:p>
    <w:p w:rsidR="00855D5C" w:rsidRPr="00855D5C" w:rsidRDefault="00855D5C" w:rsidP="006D1117">
      <w:pPr>
        <w:jc w:val="both"/>
        <w:rPr>
          <w:b/>
        </w:rPr>
      </w:pPr>
      <w:r w:rsidRPr="00855D5C">
        <w:rPr>
          <w:b/>
        </w:rPr>
        <w:t>Figure 21</w:t>
      </w:r>
      <w:r w:rsidR="00126973">
        <w:rPr>
          <w:b/>
        </w:rPr>
        <w:t xml:space="preserve"> </w:t>
      </w:r>
    </w:p>
    <w:tbl>
      <w:tblPr>
        <w:tblStyle w:val="TableGrid"/>
        <w:tblW w:w="0" w:type="auto"/>
        <w:tblLook w:val="04A0" w:firstRow="1" w:lastRow="0" w:firstColumn="1" w:lastColumn="0" w:noHBand="0" w:noVBand="1"/>
      </w:tblPr>
      <w:tblGrid>
        <w:gridCol w:w="1516"/>
        <w:gridCol w:w="7500"/>
      </w:tblGrid>
      <w:tr w:rsidR="003D1FCF" w:rsidRPr="009819AC" w:rsidTr="009C4A4F">
        <w:tc>
          <w:tcPr>
            <w:tcW w:w="9016" w:type="dxa"/>
            <w:gridSpan w:val="2"/>
            <w:shd w:val="clear" w:color="auto" w:fill="4BACC6" w:themeFill="accent5"/>
          </w:tcPr>
          <w:p w:rsidR="003D1FCF" w:rsidRPr="003D1FCF" w:rsidRDefault="003D1FCF" w:rsidP="009819AC">
            <w:pPr>
              <w:jc w:val="both"/>
            </w:pPr>
            <w:r w:rsidRPr="003D1FCF">
              <w:rPr>
                <w:b/>
              </w:rPr>
              <w:t>Development with an adverse impact on designated sites for nature conservation</w:t>
            </w:r>
          </w:p>
        </w:tc>
      </w:tr>
      <w:tr w:rsidR="009C4A4F" w:rsidRPr="009819AC" w:rsidTr="00010831">
        <w:tc>
          <w:tcPr>
            <w:tcW w:w="1516" w:type="dxa"/>
            <w:vMerge w:val="restart"/>
            <w:shd w:val="clear" w:color="auto" w:fill="00B050"/>
          </w:tcPr>
          <w:p w:rsidR="009C4A4F" w:rsidRDefault="009C4A4F" w:rsidP="00EC084D">
            <w:pPr>
              <w:jc w:val="center"/>
              <w:rPr>
                <w:b/>
              </w:rPr>
            </w:pPr>
            <w:r>
              <w:rPr>
                <w:b/>
              </w:rPr>
              <w:t>Continue Monitoring</w:t>
            </w:r>
          </w:p>
        </w:tc>
        <w:tc>
          <w:tcPr>
            <w:tcW w:w="7500" w:type="dxa"/>
            <w:shd w:val="clear" w:color="auto" w:fill="00B050"/>
          </w:tcPr>
          <w:p w:rsidR="00797555" w:rsidRPr="00010831" w:rsidRDefault="00797555" w:rsidP="00797555">
            <w:pPr>
              <w:jc w:val="both"/>
              <w:rPr>
                <w:b/>
              </w:rPr>
            </w:pPr>
            <w:r w:rsidRPr="00010831">
              <w:rPr>
                <w:b/>
              </w:rPr>
              <w:t>Third Monitoring Period</w:t>
            </w:r>
          </w:p>
          <w:p w:rsidR="009C4A4F" w:rsidRPr="009C4A4F" w:rsidRDefault="00797555" w:rsidP="00797555">
            <w:pPr>
              <w:jc w:val="both"/>
              <w:rPr>
                <w:b/>
              </w:rPr>
            </w:pPr>
            <w:r w:rsidRPr="00010831">
              <w:t>No planning permissions have been granted which would result in an adverse impact on sites designated for nature conservation.</w:t>
            </w:r>
          </w:p>
        </w:tc>
      </w:tr>
      <w:tr w:rsidR="009C4A4F" w:rsidRPr="009819AC" w:rsidTr="00010831">
        <w:tc>
          <w:tcPr>
            <w:tcW w:w="1516" w:type="dxa"/>
            <w:vMerge/>
            <w:shd w:val="clear" w:color="auto" w:fill="00B050"/>
          </w:tcPr>
          <w:p w:rsidR="009C4A4F" w:rsidRPr="009819AC" w:rsidRDefault="009C4A4F" w:rsidP="00EC084D">
            <w:pPr>
              <w:jc w:val="center"/>
              <w:rPr>
                <w:b/>
              </w:rPr>
            </w:pPr>
          </w:p>
        </w:tc>
        <w:tc>
          <w:tcPr>
            <w:tcW w:w="7500" w:type="dxa"/>
            <w:shd w:val="clear" w:color="auto" w:fill="BFBFBF" w:themeFill="background1" w:themeFillShade="BF"/>
          </w:tcPr>
          <w:p w:rsidR="009C4A4F" w:rsidRPr="009C4A4F" w:rsidRDefault="009C4A4F" w:rsidP="009819AC">
            <w:pPr>
              <w:jc w:val="both"/>
              <w:rPr>
                <w:b/>
              </w:rPr>
            </w:pPr>
            <w:r w:rsidRPr="009C4A4F">
              <w:rPr>
                <w:b/>
              </w:rPr>
              <w:t>Second Monitoring Period</w:t>
            </w:r>
          </w:p>
          <w:p w:rsidR="009C4A4F" w:rsidRPr="00FD4E77" w:rsidRDefault="009C4A4F" w:rsidP="009819AC">
            <w:pPr>
              <w:jc w:val="both"/>
            </w:pPr>
            <w:r w:rsidRPr="00FD4E77">
              <w:t>No planning permissions have been granted which would result in an adverse impact on sites designated for nature conservation.</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shd w:val="clear" w:color="auto" w:fill="D9D9D9" w:themeFill="background1" w:themeFillShade="D9"/>
          </w:tcPr>
          <w:p w:rsidR="009C4A4F" w:rsidRDefault="009C4A4F" w:rsidP="009819AC">
            <w:pPr>
              <w:jc w:val="both"/>
              <w:rPr>
                <w:b/>
              </w:rPr>
            </w:pPr>
            <w:r>
              <w:rPr>
                <w:b/>
              </w:rPr>
              <w:t>First Monitoring Period:</w:t>
            </w:r>
          </w:p>
          <w:p w:rsidR="009C4A4F" w:rsidRPr="003D1FCF" w:rsidRDefault="009C4A4F" w:rsidP="009819AC">
            <w:pPr>
              <w:jc w:val="both"/>
              <w:rPr>
                <w:b/>
              </w:rPr>
            </w:pPr>
            <w:r w:rsidRPr="00FD4E77">
              <w:t>No planning permissions have been granted which would result in an adverse impact on sites designated for nature conservation.</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tcPr>
          <w:p w:rsidR="009C4A4F" w:rsidRPr="003D1FCF" w:rsidRDefault="009C4A4F" w:rsidP="009819AC">
            <w:pPr>
              <w:jc w:val="both"/>
              <w:rPr>
                <w:b/>
              </w:rPr>
            </w:pPr>
            <w:r w:rsidRPr="003D1FCF">
              <w:rPr>
                <w:b/>
              </w:rPr>
              <w:t>Comments:</w:t>
            </w:r>
          </w:p>
          <w:p w:rsidR="009C4A4F" w:rsidRPr="00FD4E77" w:rsidRDefault="009C4A4F" w:rsidP="009819AC">
            <w:pPr>
              <w:jc w:val="both"/>
            </w:pPr>
            <w:r>
              <w:t>None.</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tcPr>
          <w:p w:rsidR="009C4A4F" w:rsidRPr="00EC084D" w:rsidRDefault="009C4A4F" w:rsidP="003D1FCF">
            <w:pPr>
              <w:jc w:val="both"/>
              <w:rPr>
                <w:b/>
              </w:rPr>
            </w:pPr>
            <w:r w:rsidRPr="00EC084D">
              <w:rPr>
                <w:b/>
              </w:rPr>
              <w:t>Recommendation:</w:t>
            </w:r>
          </w:p>
          <w:p w:rsidR="009C4A4F" w:rsidRPr="00FD4E77" w:rsidRDefault="009C4A4F" w:rsidP="003D1FCF">
            <w:pPr>
              <w:jc w:val="both"/>
            </w:pPr>
            <w:r>
              <w:t>The requirement of this indicator is being met.  It is, however, considered to be an important indicator and will continue to be monitored.</w:t>
            </w:r>
          </w:p>
        </w:tc>
      </w:tr>
    </w:tbl>
    <w:p w:rsidR="00EC084D" w:rsidRDefault="00EC084D" w:rsidP="00AC6D01">
      <w:pPr>
        <w:jc w:val="both"/>
        <w:rPr>
          <w:b/>
          <w:i/>
        </w:rPr>
      </w:pPr>
    </w:p>
    <w:p w:rsidR="00314E96" w:rsidRPr="00855D5C" w:rsidRDefault="00855D5C" w:rsidP="00AC6D01">
      <w:pPr>
        <w:jc w:val="both"/>
        <w:rPr>
          <w:b/>
        </w:rPr>
      </w:pPr>
      <w:r>
        <w:rPr>
          <w:b/>
        </w:rPr>
        <w:t>Figure 22</w:t>
      </w:r>
    </w:p>
    <w:tbl>
      <w:tblPr>
        <w:tblStyle w:val="TableGrid"/>
        <w:tblW w:w="0" w:type="auto"/>
        <w:tblLook w:val="04A0" w:firstRow="1" w:lastRow="0" w:firstColumn="1" w:lastColumn="0" w:noHBand="0" w:noVBand="1"/>
      </w:tblPr>
      <w:tblGrid>
        <w:gridCol w:w="1516"/>
        <w:gridCol w:w="7500"/>
      </w:tblGrid>
      <w:tr w:rsidR="003D1FCF" w:rsidRPr="009819AC" w:rsidTr="009C4A4F">
        <w:tc>
          <w:tcPr>
            <w:tcW w:w="9016" w:type="dxa"/>
            <w:gridSpan w:val="2"/>
            <w:shd w:val="clear" w:color="auto" w:fill="4BACC6" w:themeFill="accent5"/>
          </w:tcPr>
          <w:p w:rsidR="003D1FCF" w:rsidRPr="003D1FCF" w:rsidRDefault="003D1FCF" w:rsidP="003D1FCF">
            <w:pPr>
              <w:jc w:val="both"/>
              <w:rPr>
                <w:b/>
              </w:rPr>
            </w:pPr>
            <w:r w:rsidRPr="003D1FCF">
              <w:rPr>
                <w:b/>
              </w:rPr>
              <w:t>Development with an adverse impact on:</w:t>
            </w:r>
          </w:p>
          <w:p w:rsidR="003D1FCF" w:rsidRPr="003D1FCF" w:rsidRDefault="003D1FCF" w:rsidP="003D1FCF">
            <w:pPr>
              <w:pStyle w:val="ListParagraph"/>
              <w:numPr>
                <w:ilvl w:val="2"/>
                <w:numId w:val="1"/>
              </w:numPr>
              <w:jc w:val="both"/>
              <w:rPr>
                <w:b/>
              </w:rPr>
            </w:pPr>
            <w:r w:rsidRPr="003D1FCF">
              <w:rPr>
                <w:b/>
              </w:rPr>
              <w:t>Listed Building</w:t>
            </w:r>
          </w:p>
          <w:p w:rsidR="003D1FCF" w:rsidRPr="003D1FCF" w:rsidRDefault="003D1FCF" w:rsidP="003D1FCF">
            <w:pPr>
              <w:pStyle w:val="ListParagraph"/>
              <w:numPr>
                <w:ilvl w:val="2"/>
                <w:numId w:val="1"/>
              </w:numPr>
              <w:jc w:val="both"/>
              <w:rPr>
                <w:b/>
              </w:rPr>
            </w:pPr>
            <w:r w:rsidRPr="003D1FCF">
              <w:rPr>
                <w:b/>
              </w:rPr>
              <w:t>Conservation Area</w:t>
            </w:r>
          </w:p>
          <w:p w:rsidR="003D1FCF" w:rsidRPr="003D1FCF" w:rsidRDefault="003D1FCF" w:rsidP="003D1FCF">
            <w:pPr>
              <w:pStyle w:val="ListParagraph"/>
              <w:numPr>
                <w:ilvl w:val="2"/>
                <w:numId w:val="1"/>
              </w:numPr>
              <w:jc w:val="both"/>
              <w:rPr>
                <w:b/>
              </w:rPr>
            </w:pPr>
            <w:r w:rsidRPr="003D1FCF">
              <w:rPr>
                <w:b/>
              </w:rPr>
              <w:t>Site/area of Archaeological Significance</w:t>
            </w:r>
          </w:p>
          <w:p w:rsidR="003D1FCF" w:rsidRPr="003D1FCF" w:rsidRDefault="003D1FCF" w:rsidP="004645BA">
            <w:pPr>
              <w:pStyle w:val="ListParagraph"/>
              <w:numPr>
                <w:ilvl w:val="2"/>
                <w:numId w:val="1"/>
              </w:numPr>
              <w:jc w:val="both"/>
              <w:rPr>
                <w:b/>
                <w:i/>
              </w:rPr>
            </w:pPr>
            <w:r w:rsidRPr="003D1FCF">
              <w:rPr>
                <w:b/>
              </w:rPr>
              <w:t>Historic Landscape, Park and Garden</w:t>
            </w:r>
          </w:p>
        </w:tc>
      </w:tr>
      <w:tr w:rsidR="009C4A4F" w:rsidRPr="009819AC" w:rsidTr="00010831">
        <w:tc>
          <w:tcPr>
            <w:tcW w:w="1516" w:type="dxa"/>
            <w:vMerge w:val="restart"/>
            <w:shd w:val="clear" w:color="auto" w:fill="00B050"/>
          </w:tcPr>
          <w:p w:rsidR="009C4A4F" w:rsidRDefault="00010831" w:rsidP="00EC084D">
            <w:pPr>
              <w:jc w:val="center"/>
              <w:rPr>
                <w:b/>
              </w:rPr>
            </w:pPr>
            <w:r>
              <w:rPr>
                <w:b/>
              </w:rPr>
              <w:lastRenderedPageBreak/>
              <w:t>Continue Monitoring</w:t>
            </w:r>
          </w:p>
        </w:tc>
        <w:tc>
          <w:tcPr>
            <w:tcW w:w="7500" w:type="dxa"/>
            <w:shd w:val="clear" w:color="auto" w:fill="00B050"/>
          </w:tcPr>
          <w:p w:rsidR="005E1E7C" w:rsidRPr="00010831" w:rsidRDefault="005E1E7C" w:rsidP="005E1E7C">
            <w:pPr>
              <w:jc w:val="both"/>
              <w:rPr>
                <w:b/>
              </w:rPr>
            </w:pPr>
            <w:r w:rsidRPr="00010831">
              <w:rPr>
                <w:b/>
              </w:rPr>
              <w:t>Third Monitoring period:</w:t>
            </w:r>
          </w:p>
          <w:p w:rsidR="009C4A4F" w:rsidRPr="009C4A4F" w:rsidRDefault="005E1E7C" w:rsidP="005E1E7C">
            <w:pPr>
              <w:jc w:val="both"/>
              <w:rPr>
                <w:b/>
              </w:rPr>
            </w:pPr>
            <w:r w:rsidRPr="00010831">
              <w:t>No relevant planning permissions have been granted.</w:t>
            </w:r>
          </w:p>
        </w:tc>
      </w:tr>
      <w:tr w:rsidR="009C4A4F" w:rsidRPr="009819AC" w:rsidTr="00010831">
        <w:tc>
          <w:tcPr>
            <w:tcW w:w="1516" w:type="dxa"/>
            <w:vMerge/>
            <w:shd w:val="clear" w:color="auto" w:fill="00B050"/>
          </w:tcPr>
          <w:p w:rsidR="009C4A4F" w:rsidRPr="009819AC" w:rsidRDefault="009C4A4F" w:rsidP="00EC084D">
            <w:pPr>
              <w:jc w:val="center"/>
              <w:rPr>
                <w:b/>
              </w:rPr>
            </w:pPr>
          </w:p>
        </w:tc>
        <w:tc>
          <w:tcPr>
            <w:tcW w:w="7500" w:type="dxa"/>
            <w:shd w:val="clear" w:color="auto" w:fill="BFBFBF" w:themeFill="background1" w:themeFillShade="BF"/>
          </w:tcPr>
          <w:p w:rsidR="009C4A4F" w:rsidRPr="009C4A4F" w:rsidRDefault="009C4A4F" w:rsidP="004645BA">
            <w:pPr>
              <w:jc w:val="both"/>
              <w:rPr>
                <w:b/>
              </w:rPr>
            </w:pPr>
            <w:r w:rsidRPr="009C4A4F">
              <w:rPr>
                <w:b/>
              </w:rPr>
              <w:t>Second Monitoring Period</w:t>
            </w:r>
          </w:p>
          <w:p w:rsidR="009C4A4F" w:rsidRPr="00FD4E77" w:rsidRDefault="009C4A4F" w:rsidP="004645BA">
            <w:pPr>
              <w:jc w:val="both"/>
            </w:pPr>
            <w:r>
              <w:t>2 planning permissions have been granted which would have a minor impact on the conservation area, and have been permitted against Senior Building Conservation Area.</w:t>
            </w: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shd w:val="clear" w:color="auto" w:fill="D9D9D9" w:themeFill="background1" w:themeFillShade="D9"/>
          </w:tcPr>
          <w:p w:rsidR="009C4A4F" w:rsidRDefault="009C4A4F" w:rsidP="004645BA">
            <w:pPr>
              <w:jc w:val="both"/>
              <w:rPr>
                <w:b/>
              </w:rPr>
            </w:pPr>
            <w:r>
              <w:rPr>
                <w:b/>
              </w:rPr>
              <w:t>First Monitoring period:</w:t>
            </w:r>
          </w:p>
          <w:p w:rsidR="009C4A4F" w:rsidRPr="009413F9" w:rsidRDefault="009C4A4F" w:rsidP="004645BA">
            <w:pPr>
              <w:jc w:val="both"/>
            </w:pPr>
            <w:r>
              <w:t>No relevant planning permissions have been granted.</w:t>
            </w: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tcPr>
          <w:p w:rsidR="009C4A4F" w:rsidRDefault="009C4A4F" w:rsidP="004645BA">
            <w:pPr>
              <w:jc w:val="both"/>
              <w:rPr>
                <w:b/>
              </w:rPr>
            </w:pPr>
            <w:r w:rsidRPr="003D1FCF">
              <w:rPr>
                <w:b/>
              </w:rPr>
              <w:t>Comments:</w:t>
            </w:r>
          </w:p>
          <w:p w:rsidR="009C4A4F" w:rsidRPr="0084730A" w:rsidRDefault="00010831" w:rsidP="004645BA">
            <w:pPr>
              <w:jc w:val="both"/>
            </w:pPr>
            <w:r>
              <w:t>None.</w:t>
            </w:r>
          </w:p>
          <w:p w:rsidR="009C4A4F" w:rsidRPr="00FD4E77" w:rsidRDefault="009C4A4F" w:rsidP="004645BA">
            <w:pPr>
              <w:jc w:val="both"/>
            </w:pP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tcPr>
          <w:p w:rsidR="009C4A4F" w:rsidRPr="00EC084D" w:rsidRDefault="009C4A4F" w:rsidP="003D1FCF">
            <w:pPr>
              <w:jc w:val="both"/>
              <w:rPr>
                <w:b/>
              </w:rPr>
            </w:pPr>
            <w:r w:rsidRPr="00EC084D">
              <w:rPr>
                <w:b/>
              </w:rPr>
              <w:t>Recommendation:</w:t>
            </w:r>
          </w:p>
          <w:p w:rsidR="009C4A4F" w:rsidRPr="00FD4E77" w:rsidRDefault="00010831" w:rsidP="003D1FCF">
            <w:pPr>
              <w:jc w:val="both"/>
            </w:pPr>
            <w:r w:rsidRPr="00010831">
              <w:t>The requirement of this indicator is being met.  It is, however, considered to be an important indicator and will continue to be monitored.</w:t>
            </w:r>
          </w:p>
        </w:tc>
      </w:tr>
    </w:tbl>
    <w:p w:rsidR="00657C73" w:rsidRDefault="00657C73" w:rsidP="003D1FCF">
      <w:pPr>
        <w:jc w:val="both"/>
        <w:rPr>
          <w:b/>
          <w:i/>
        </w:rPr>
      </w:pPr>
    </w:p>
    <w:p w:rsidR="00855D5C" w:rsidRPr="00855D5C" w:rsidRDefault="00855D5C" w:rsidP="003D1FCF">
      <w:pPr>
        <w:jc w:val="both"/>
        <w:rPr>
          <w:b/>
        </w:rPr>
      </w:pPr>
      <w:r>
        <w:rPr>
          <w:b/>
        </w:rPr>
        <w:t>Figure 23</w:t>
      </w:r>
    </w:p>
    <w:tbl>
      <w:tblPr>
        <w:tblStyle w:val="TableGrid"/>
        <w:tblW w:w="0" w:type="auto"/>
        <w:tblLook w:val="04A0" w:firstRow="1" w:lastRow="0" w:firstColumn="1" w:lastColumn="0" w:noHBand="0" w:noVBand="1"/>
      </w:tblPr>
      <w:tblGrid>
        <w:gridCol w:w="1512"/>
        <w:gridCol w:w="7504"/>
      </w:tblGrid>
      <w:tr w:rsidR="003D1FCF" w:rsidRPr="009819AC" w:rsidTr="009C4A4F">
        <w:tc>
          <w:tcPr>
            <w:tcW w:w="9016" w:type="dxa"/>
            <w:gridSpan w:val="2"/>
            <w:shd w:val="clear" w:color="auto" w:fill="4BACC6" w:themeFill="accent5"/>
          </w:tcPr>
          <w:p w:rsidR="003D1FCF" w:rsidRPr="003D1FCF" w:rsidRDefault="003D1FCF" w:rsidP="009819AC">
            <w:pPr>
              <w:jc w:val="both"/>
              <w:rPr>
                <w:highlight w:val="red"/>
              </w:rPr>
            </w:pPr>
            <w:r w:rsidRPr="003D1FCF">
              <w:rPr>
                <w:b/>
              </w:rPr>
              <w:t>Number of Conservation Areas with up-to-date assessments</w:t>
            </w:r>
          </w:p>
        </w:tc>
      </w:tr>
      <w:tr w:rsidR="009C4A4F" w:rsidRPr="009819AC" w:rsidTr="009C4A4F">
        <w:tc>
          <w:tcPr>
            <w:tcW w:w="1512" w:type="dxa"/>
            <w:vMerge w:val="restart"/>
            <w:shd w:val="clear" w:color="auto" w:fill="00B050"/>
          </w:tcPr>
          <w:p w:rsidR="009C4A4F" w:rsidRDefault="009C4A4F" w:rsidP="00EC084D">
            <w:pPr>
              <w:jc w:val="center"/>
              <w:rPr>
                <w:b/>
              </w:rPr>
            </w:pPr>
            <w:r>
              <w:rPr>
                <w:b/>
              </w:rPr>
              <w:t>Continue Monitoring</w:t>
            </w:r>
          </w:p>
        </w:tc>
        <w:tc>
          <w:tcPr>
            <w:tcW w:w="7504" w:type="dxa"/>
            <w:shd w:val="clear" w:color="auto" w:fill="00B050"/>
          </w:tcPr>
          <w:p w:rsidR="009C4A4F" w:rsidRPr="009C4A4F" w:rsidRDefault="009C4A4F" w:rsidP="009C4A4F">
            <w:pPr>
              <w:tabs>
                <w:tab w:val="left" w:pos="5820"/>
                <w:tab w:val="right" w:pos="7288"/>
              </w:tabs>
              <w:jc w:val="both"/>
              <w:rPr>
                <w:b/>
              </w:rPr>
            </w:pPr>
            <w:r>
              <w:rPr>
                <w:b/>
              </w:rPr>
              <w:t>3 Conservation Area Assessments completed within the period of this AMR</w:t>
            </w:r>
          </w:p>
        </w:tc>
      </w:tr>
      <w:tr w:rsidR="009C4A4F" w:rsidRPr="009819AC" w:rsidTr="00027012">
        <w:tc>
          <w:tcPr>
            <w:tcW w:w="1512" w:type="dxa"/>
            <w:vMerge/>
            <w:shd w:val="clear" w:color="auto" w:fill="00B050"/>
          </w:tcPr>
          <w:p w:rsidR="009C4A4F" w:rsidRPr="009819AC" w:rsidRDefault="009C4A4F" w:rsidP="00EC084D">
            <w:pPr>
              <w:jc w:val="center"/>
              <w:rPr>
                <w:b/>
              </w:rPr>
            </w:pPr>
          </w:p>
        </w:tc>
        <w:tc>
          <w:tcPr>
            <w:tcW w:w="7504" w:type="dxa"/>
            <w:shd w:val="clear" w:color="auto" w:fill="BFBFBF" w:themeFill="background1" w:themeFillShade="BF"/>
          </w:tcPr>
          <w:p w:rsidR="009C4A4F" w:rsidRPr="009C4A4F" w:rsidRDefault="009C4A4F" w:rsidP="009C4A4F">
            <w:pPr>
              <w:tabs>
                <w:tab w:val="left" w:pos="5820"/>
                <w:tab w:val="right" w:pos="7288"/>
              </w:tabs>
              <w:jc w:val="both"/>
              <w:rPr>
                <w:b/>
              </w:rPr>
            </w:pPr>
            <w:r w:rsidRPr="009C4A4F">
              <w:rPr>
                <w:b/>
              </w:rPr>
              <w:t>Second Monitoring Period</w:t>
            </w:r>
            <w:r>
              <w:rPr>
                <w:b/>
              </w:rPr>
              <w:tab/>
            </w:r>
            <w:r>
              <w:rPr>
                <w:b/>
              </w:rPr>
              <w:tab/>
            </w:r>
          </w:p>
          <w:p w:rsidR="009C4A4F" w:rsidRPr="000F28FE" w:rsidRDefault="009C4A4F" w:rsidP="00AC6D01">
            <w:pPr>
              <w:jc w:val="both"/>
            </w:pPr>
            <w:r>
              <w:t>0 Conservation Area Assessments completed within the period of this AMR.</w:t>
            </w:r>
          </w:p>
        </w:tc>
      </w:tr>
      <w:tr w:rsidR="009C4A4F" w:rsidRPr="009819AC" w:rsidTr="009C4A4F">
        <w:tc>
          <w:tcPr>
            <w:tcW w:w="1512" w:type="dxa"/>
            <w:vMerge/>
            <w:shd w:val="clear" w:color="auto" w:fill="D9D9D9" w:themeFill="background1" w:themeFillShade="D9"/>
          </w:tcPr>
          <w:p w:rsidR="009C4A4F" w:rsidRDefault="009C4A4F" w:rsidP="00EC084D">
            <w:pPr>
              <w:jc w:val="center"/>
              <w:rPr>
                <w:b/>
              </w:rPr>
            </w:pPr>
          </w:p>
        </w:tc>
        <w:tc>
          <w:tcPr>
            <w:tcW w:w="7504" w:type="dxa"/>
            <w:shd w:val="clear" w:color="auto" w:fill="D9D9D9" w:themeFill="background1" w:themeFillShade="D9"/>
          </w:tcPr>
          <w:p w:rsidR="009C4A4F" w:rsidRDefault="009C4A4F" w:rsidP="003D1FCF">
            <w:pPr>
              <w:jc w:val="both"/>
              <w:rPr>
                <w:b/>
              </w:rPr>
            </w:pPr>
            <w:r>
              <w:rPr>
                <w:b/>
              </w:rPr>
              <w:t>First Monitoring Period:</w:t>
            </w:r>
          </w:p>
          <w:p w:rsidR="009C4A4F" w:rsidRPr="00B1342E" w:rsidRDefault="009C4A4F" w:rsidP="003D1FCF">
            <w:pPr>
              <w:jc w:val="both"/>
            </w:pPr>
            <w:r>
              <w:t>0 Conservation Area Assessments completed.</w:t>
            </w:r>
          </w:p>
        </w:tc>
      </w:tr>
      <w:tr w:rsidR="009C4A4F" w:rsidRPr="009819AC" w:rsidTr="009C4A4F">
        <w:tc>
          <w:tcPr>
            <w:tcW w:w="1512" w:type="dxa"/>
            <w:vMerge/>
            <w:shd w:val="clear" w:color="auto" w:fill="00B050"/>
          </w:tcPr>
          <w:p w:rsidR="009C4A4F" w:rsidRDefault="009C4A4F" w:rsidP="00EC084D">
            <w:pPr>
              <w:jc w:val="center"/>
              <w:rPr>
                <w:b/>
              </w:rPr>
            </w:pPr>
          </w:p>
        </w:tc>
        <w:tc>
          <w:tcPr>
            <w:tcW w:w="7504" w:type="dxa"/>
          </w:tcPr>
          <w:p w:rsidR="009C4A4F" w:rsidRDefault="009C4A4F" w:rsidP="003D1FCF">
            <w:pPr>
              <w:jc w:val="both"/>
            </w:pPr>
            <w:r w:rsidRPr="00EC084D">
              <w:rPr>
                <w:b/>
              </w:rPr>
              <w:t>Comment</w:t>
            </w:r>
            <w:r>
              <w:t>:</w:t>
            </w:r>
          </w:p>
          <w:p w:rsidR="00010831" w:rsidRDefault="00010831" w:rsidP="00B1342E">
            <w:pPr>
              <w:jc w:val="both"/>
            </w:pPr>
            <w:r>
              <w:t>Appraisals have been completed for Brecon, Hay-On-Wye and Talgarth Conservation Areas.</w:t>
            </w:r>
          </w:p>
          <w:p w:rsidR="00010831" w:rsidRDefault="00010831" w:rsidP="00B1342E">
            <w:pPr>
              <w:jc w:val="both"/>
            </w:pPr>
          </w:p>
          <w:p w:rsidR="009C4A4F" w:rsidRDefault="009C4A4F" w:rsidP="00B1342E">
            <w:pPr>
              <w:jc w:val="both"/>
            </w:pPr>
            <w:r>
              <w:t>The</w:t>
            </w:r>
            <w:r w:rsidR="00010831">
              <w:t xml:space="preserve"> remaining</w:t>
            </w:r>
            <w:r>
              <w:t xml:space="preserve"> Conservation Area at Crickhowell and Llangattock is currently being assessed.  Further to discussion with local stakeholders (Town and Community Councils, Civic Society etc.), it has been agreed that the assessment will be taken forward as part of the Town/Villa</w:t>
            </w:r>
            <w:r w:rsidR="00010831">
              <w:t>ge Plan process</w:t>
            </w:r>
            <w:r>
              <w:t>.</w:t>
            </w:r>
          </w:p>
          <w:p w:rsidR="009C4A4F" w:rsidRDefault="009C4A4F" w:rsidP="00B1342E">
            <w:pPr>
              <w:jc w:val="both"/>
            </w:pPr>
          </w:p>
          <w:p w:rsidR="009C4A4F" w:rsidRPr="00AC6D01" w:rsidRDefault="009C4A4F" w:rsidP="00B1342E">
            <w:pPr>
              <w:jc w:val="both"/>
            </w:pPr>
            <w:r>
              <w:t>C</w:t>
            </w:r>
            <w:r w:rsidR="00010831">
              <w:t>onsideration is currently being given to additional</w:t>
            </w:r>
            <w:r w:rsidRPr="00BE6083">
              <w:t xml:space="preserve"> conservation area designations.</w:t>
            </w:r>
            <w:r>
              <w:t xml:space="preserve">  It is anticipated that this will be progressed during 2017.</w:t>
            </w:r>
          </w:p>
        </w:tc>
      </w:tr>
      <w:tr w:rsidR="009C4A4F" w:rsidRPr="009819AC" w:rsidTr="009C4A4F">
        <w:tc>
          <w:tcPr>
            <w:tcW w:w="1512" w:type="dxa"/>
            <w:vMerge/>
            <w:shd w:val="clear" w:color="auto" w:fill="00B050"/>
          </w:tcPr>
          <w:p w:rsidR="009C4A4F" w:rsidRDefault="009C4A4F" w:rsidP="00EC084D">
            <w:pPr>
              <w:jc w:val="center"/>
              <w:rPr>
                <w:b/>
              </w:rPr>
            </w:pPr>
          </w:p>
        </w:tc>
        <w:tc>
          <w:tcPr>
            <w:tcW w:w="7504" w:type="dxa"/>
          </w:tcPr>
          <w:p w:rsidR="009C4A4F" w:rsidRDefault="009C4A4F" w:rsidP="003D1FCF">
            <w:pPr>
              <w:jc w:val="both"/>
            </w:pPr>
            <w:r w:rsidRPr="00EC084D">
              <w:rPr>
                <w:b/>
              </w:rPr>
              <w:t>Recommendation</w:t>
            </w:r>
            <w:r>
              <w:t>:</w:t>
            </w:r>
          </w:p>
          <w:p w:rsidR="009C4A4F" w:rsidRPr="00EC084D" w:rsidRDefault="009C4A4F" w:rsidP="003D1FCF">
            <w:pPr>
              <w:jc w:val="both"/>
              <w:rPr>
                <w:highlight w:val="red"/>
              </w:rPr>
            </w:pPr>
            <w:r>
              <w:t xml:space="preserve">This assessment will be triggered for this indicator should the Conservation Area Assessments not be completed by </w:t>
            </w:r>
            <w:r w:rsidR="00010831">
              <w:t xml:space="preserve">the end of </w:t>
            </w:r>
            <w:r>
              <w:t xml:space="preserve">2017.  Accordingly, this measure will </w:t>
            </w:r>
            <w:r>
              <w:lastRenderedPageBreak/>
              <w:t xml:space="preserve">continue to be monitored while the </w:t>
            </w:r>
            <w:r w:rsidR="00010831">
              <w:t>assessment of the Crickhowell and Llangattock Conservation Area is</w:t>
            </w:r>
            <w:r>
              <w:t xml:space="preserve"> carried out.</w:t>
            </w:r>
          </w:p>
        </w:tc>
      </w:tr>
    </w:tbl>
    <w:p w:rsidR="00657C73" w:rsidRDefault="00EC084D" w:rsidP="00D45D6C">
      <w:pPr>
        <w:jc w:val="both"/>
      </w:pPr>
      <w:r>
        <w:lastRenderedPageBreak/>
        <w:t xml:space="preserve">  </w:t>
      </w:r>
    </w:p>
    <w:p w:rsidR="00855D5C" w:rsidRPr="00855D5C" w:rsidRDefault="00855D5C" w:rsidP="00D45D6C">
      <w:pPr>
        <w:jc w:val="both"/>
        <w:rPr>
          <w:b/>
        </w:rPr>
      </w:pPr>
      <w:r>
        <w:rPr>
          <w:b/>
        </w:rPr>
        <w:t>Figure 24</w:t>
      </w:r>
    </w:p>
    <w:tbl>
      <w:tblPr>
        <w:tblStyle w:val="TableGrid"/>
        <w:tblW w:w="0" w:type="auto"/>
        <w:tblLook w:val="04A0" w:firstRow="1" w:lastRow="0" w:firstColumn="1" w:lastColumn="0" w:noHBand="0" w:noVBand="1"/>
      </w:tblPr>
      <w:tblGrid>
        <w:gridCol w:w="1510"/>
        <w:gridCol w:w="7506"/>
      </w:tblGrid>
      <w:tr w:rsidR="003D1FCF" w:rsidRPr="009819AC" w:rsidTr="00BE740A">
        <w:trPr>
          <w:trHeight w:val="416"/>
        </w:trPr>
        <w:tc>
          <w:tcPr>
            <w:tcW w:w="9016" w:type="dxa"/>
            <w:gridSpan w:val="2"/>
            <w:shd w:val="clear" w:color="auto" w:fill="4BACC6" w:themeFill="accent5"/>
          </w:tcPr>
          <w:p w:rsidR="003D1FCF" w:rsidRPr="006D1117" w:rsidRDefault="003D1FCF" w:rsidP="003D1FCF">
            <w:pPr>
              <w:jc w:val="both"/>
            </w:pPr>
            <w:r w:rsidRPr="006D1117">
              <w:rPr>
                <w:b/>
              </w:rPr>
              <w:t>Supplementary Planning Guidance</w:t>
            </w:r>
            <w:r w:rsidR="009D75FB">
              <w:rPr>
                <w:b/>
              </w:rPr>
              <w:t xml:space="preserve">  </w:t>
            </w:r>
          </w:p>
        </w:tc>
      </w:tr>
      <w:tr w:rsidR="00836BA2" w:rsidRPr="009819AC" w:rsidTr="008C4DCF">
        <w:trPr>
          <w:trHeight w:val="3233"/>
        </w:trPr>
        <w:tc>
          <w:tcPr>
            <w:tcW w:w="1510" w:type="dxa"/>
            <w:vMerge w:val="restart"/>
            <w:shd w:val="clear" w:color="auto" w:fill="00B0F0"/>
          </w:tcPr>
          <w:p w:rsidR="00836BA2" w:rsidRDefault="00836BA2" w:rsidP="006D412C">
            <w:pPr>
              <w:jc w:val="center"/>
              <w:rPr>
                <w:b/>
              </w:rPr>
            </w:pPr>
            <w:r w:rsidRPr="006D412C">
              <w:rPr>
                <w:b/>
              </w:rPr>
              <w:t>Complete</w:t>
            </w:r>
            <w:r>
              <w:rPr>
                <w:b/>
              </w:rPr>
              <w:t>d in part during previous monitoring period.</w:t>
            </w:r>
          </w:p>
          <w:p w:rsidR="00836BA2" w:rsidRDefault="00836BA2" w:rsidP="006D412C">
            <w:pPr>
              <w:jc w:val="center"/>
              <w:rPr>
                <w:b/>
              </w:rPr>
            </w:pPr>
          </w:p>
          <w:p w:rsidR="00836BA2" w:rsidRDefault="00836BA2" w:rsidP="006D412C">
            <w:pPr>
              <w:jc w:val="center"/>
              <w:rPr>
                <w:b/>
              </w:rPr>
            </w:pPr>
          </w:p>
          <w:p w:rsidR="00836BA2" w:rsidRPr="006D412C" w:rsidRDefault="00836BA2" w:rsidP="006D412C">
            <w:pPr>
              <w:jc w:val="center"/>
              <w:rPr>
                <w:b/>
              </w:rPr>
            </w:pPr>
            <w:r>
              <w:rPr>
                <w:b/>
              </w:rPr>
              <w:t>Biodiversity Audit Completed in 2016.</w:t>
            </w:r>
          </w:p>
        </w:tc>
        <w:tc>
          <w:tcPr>
            <w:tcW w:w="7506" w:type="dxa"/>
            <w:shd w:val="clear" w:color="auto" w:fill="00B0F0"/>
          </w:tcPr>
          <w:p w:rsidR="00836BA2" w:rsidRPr="001D724A" w:rsidRDefault="00836BA2" w:rsidP="00DD194F">
            <w:pPr>
              <w:jc w:val="both"/>
            </w:pPr>
            <w:r w:rsidRPr="001D724A">
              <w:t>In line with the requirements of the LDP Monitoring Framework, Members have endorsed the following Supplementary Planning Guidance for use in the determination of relevant planning applications:</w:t>
            </w:r>
          </w:p>
          <w:p w:rsidR="00836BA2" w:rsidRPr="001D724A" w:rsidRDefault="00836BA2" w:rsidP="00DD194F">
            <w:pPr>
              <w:pStyle w:val="ListParagraph"/>
              <w:numPr>
                <w:ilvl w:val="0"/>
                <w:numId w:val="1"/>
              </w:numPr>
              <w:jc w:val="both"/>
            </w:pPr>
            <w:r w:rsidRPr="001D724A">
              <w:t>Obtrusive Lighting</w:t>
            </w:r>
          </w:p>
          <w:p w:rsidR="00836BA2" w:rsidRPr="001D724A" w:rsidRDefault="00836BA2" w:rsidP="00DD194F">
            <w:pPr>
              <w:pStyle w:val="ListParagraph"/>
              <w:numPr>
                <w:ilvl w:val="0"/>
                <w:numId w:val="1"/>
              </w:numPr>
              <w:jc w:val="both"/>
            </w:pPr>
            <w:r w:rsidRPr="001D724A">
              <w:t>Biodiversity Audit</w:t>
            </w:r>
          </w:p>
          <w:p w:rsidR="00836BA2" w:rsidRPr="001D724A" w:rsidRDefault="00836BA2" w:rsidP="00DD194F">
            <w:pPr>
              <w:jc w:val="both"/>
            </w:pPr>
          </w:p>
          <w:p w:rsidR="008C4DCF" w:rsidRDefault="00836BA2" w:rsidP="008C4DCF">
            <w:pPr>
              <w:jc w:val="both"/>
            </w:pPr>
            <w:r w:rsidRPr="001D724A">
              <w:t>The proposed S</w:t>
            </w:r>
            <w:r>
              <w:t xml:space="preserve">upplementary </w:t>
            </w:r>
            <w:r w:rsidRPr="001D724A">
              <w:t>P</w:t>
            </w:r>
            <w:r>
              <w:t xml:space="preserve">lanning </w:t>
            </w:r>
            <w:r w:rsidRPr="001D724A">
              <w:t>G</w:t>
            </w:r>
            <w:r>
              <w:t>uidance</w:t>
            </w:r>
            <w:r w:rsidRPr="001D724A">
              <w:t xml:space="preserve"> relating to Best Practice in Biodiversity has </w:t>
            </w:r>
            <w:r>
              <w:t>pu</w:t>
            </w:r>
            <w:r w:rsidR="008C4DCF">
              <w:t>blished and endorsed</w:t>
            </w:r>
            <w:r w:rsidR="008C4DCF" w:rsidRPr="008C4DCF">
              <w:t xml:space="preserve"> for use in the determination of relevant planning application</w:t>
            </w:r>
            <w:r w:rsidR="008C4DCF">
              <w:t>s.  The publication of this SPG was delayed, due in part</w:t>
            </w:r>
            <w:r w:rsidRPr="001D724A">
              <w:t xml:space="preserve"> to the work that has been undertaken to extend the Biodiversity Audit S</w:t>
            </w:r>
            <w:r>
              <w:t xml:space="preserve">upplementary </w:t>
            </w:r>
            <w:r w:rsidRPr="001D724A">
              <w:t>P</w:t>
            </w:r>
            <w:r>
              <w:t xml:space="preserve">lanning </w:t>
            </w:r>
            <w:r w:rsidRPr="001D724A">
              <w:t>G</w:t>
            </w:r>
            <w:r>
              <w:t>uidance</w:t>
            </w:r>
            <w:r w:rsidRPr="001D724A">
              <w:t xml:space="preserve"> to include the remaining Level 2 Key Settlement at Sennybridge and Defynnog</w:t>
            </w:r>
            <w:r w:rsidR="008C4DCF">
              <w:t xml:space="preserve"> (which has also been endorsed)</w:t>
            </w:r>
            <w:r w:rsidRPr="001D724A">
              <w:t>.</w:t>
            </w:r>
          </w:p>
          <w:p w:rsidR="00836BA2" w:rsidRPr="008C4DCF" w:rsidRDefault="00836BA2" w:rsidP="008C4DCF"/>
        </w:tc>
      </w:tr>
      <w:tr w:rsidR="00836BA2" w:rsidRPr="009819AC" w:rsidTr="00BE740A">
        <w:trPr>
          <w:trHeight w:val="699"/>
        </w:trPr>
        <w:tc>
          <w:tcPr>
            <w:tcW w:w="1510" w:type="dxa"/>
            <w:vMerge/>
            <w:shd w:val="clear" w:color="auto" w:fill="00B0F0"/>
          </w:tcPr>
          <w:p w:rsidR="00836BA2" w:rsidRPr="009819AC" w:rsidRDefault="00836BA2" w:rsidP="009819AC">
            <w:pPr>
              <w:jc w:val="both"/>
              <w:rPr>
                <w:b/>
              </w:rPr>
            </w:pPr>
          </w:p>
        </w:tc>
        <w:tc>
          <w:tcPr>
            <w:tcW w:w="7506" w:type="dxa"/>
          </w:tcPr>
          <w:p w:rsidR="00836BA2" w:rsidRPr="003D1FCF" w:rsidRDefault="00836BA2" w:rsidP="00DD194F">
            <w:pPr>
              <w:jc w:val="both"/>
              <w:rPr>
                <w:b/>
              </w:rPr>
            </w:pPr>
            <w:r w:rsidRPr="003D1FCF">
              <w:rPr>
                <w:b/>
              </w:rPr>
              <w:t>Comment:</w:t>
            </w:r>
          </w:p>
          <w:p w:rsidR="00836BA2" w:rsidRPr="001D724A" w:rsidRDefault="00836BA2" w:rsidP="00DD194F">
            <w:pPr>
              <w:jc w:val="both"/>
            </w:pPr>
            <w:r>
              <w:t>None.</w:t>
            </w:r>
          </w:p>
        </w:tc>
      </w:tr>
      <w:tr w:rsidR="00836BA2" w:rsidRPr="009819AC" w:rsidTr="00BE740A">
        <w:trPr>
          <w:trHeight w:val="889"/>
        </w:trPr>
        <w:tc>
          <w:tcPr>
            <w:tcW w:w="1510" w:type="dxa"/>
            <w:vMerge/>
            <w:shd w:val="clear" w:color="auto" w:fill="00B0F0"/>
          </w:tcPr>
          <w:p w:rsidR="00836BA2" w:rsidRPr="009819AC" w:rsidRDefault="00836BA2" w:rsidP="009819AC">
            <w:pPr>
              <w:jc w:val="both"/>
              <w:rPr>
                <w:b/>
              </w:rPr>
            </w:pPr>
          </w:p>
        </w:tc>
        <w:tc>
          <w:tcPr>
            <w:tcW w:w="7506" w:type="dxa"/>
          </w:tcPr>
          <w:p w:rsidR="00836BA2" w:rsidRDefault="00836BA2" w:rsidP="004328AF">
            <w:pPr>
              <w:jc w:val="both"/>
            </w:pPr>
            <w:r w:rsidRPr="0055001A">
              <w:rPr>
                <w:b/>
              </w:rPr>
              <w:t>Recommendation</w:t>
            </w:r>
            <w:r>
              <w:t>:</w:t>
            </w:r>
          </w:p>
          <w:p w:rsidR="00836BA2" w:rsidRPr="00BE740A" w:rsidRDefault="00836BA2" w:rsidP="00BE740A">
            <w:pPr>
              <w:jc w:val="both"/>
            </w:pPr>
            <w:r w:rsidRPr="00BE740A">
              <w:t>The relevant Supplementary Planning Guidance has been completed.  Accordingly, no further monitoring is required.</w:t>
            </w:r>
          </w:p>
        </w:tc>
      </w:tr>
    </w:tbl>
    <w:p w:rsidR="009819AC" w:rsidRDefault="009819AC" w:rsidP="009819AC">
      <w:pPr>
        <w:jc w:val="both"/>
      </w:pPr>
    </w:p>
    <w:p w:rsidR="00657C73" w:rsidRPr="00657C73" w:rsidRDefault="00657C73" w:rsidP="00657C73">
      <w:pPr>
        <w:jc w:val="both"/>
        <w:rPr>
          <w:b/>
        </w:rPr>
      </w:pPr>
    </w:p>
    <w:p w:rsidR="00657C73" w:rsidRDefault="004668D1" w:rsidP="006D1117">
      <w:pPr>
        <w:jc w:val="both"/>
        <w:rPr>
          <w:b/>
          <w:sz w:val="24"/>
          <w:szCs w:val="24"/>
        </w:rPr>
      </w:pPr>
      <w:r w:rsidRPr="007467EF">
        <w:rPr>
          <w:b/>
          <w:sz w:val="24"/>
          <w:szCs w:val="24"/>
        </w:rPr>
        <w:t>Climate Change, Sustainable Design and Renewable Energy</w:t>
      </w:r>
      <w:r w:rsidR="005D06F9" w:rsidRPr="007467EF">
        <w:rPr>
          <w:b/>
          <w:sz w:val="24"/>
          <w:szCs w:val="24"/>
        </w:rPr>
        <w:t xml:space="preserve"> </w:t>
      </w:r>
    </w:p>
    <w:p w:rsidR="00855D5C" w:rsidRPr="00855D5C" w:rsidRDefault="00855D5C" w:rsidP="006D1117">
      <w:pPr>
        <w:jc w:val="both"/>
        <w:rPr>
          <w:b/>
        </w:rPr>
      </w:pPr>
      <w:r>
        <w:rPr>
          <w:b/>
        </w:rPr>
        <w:t>Figure 25</w:t>
      </w:r>
    </w:p>
    <w:tbl>
      <w:tblPr>
        <w:tblStyle w:val="TableGrid"/>
        <w:tblW w:w="0" w:type="auto"/>
        <w:tblLook w:val="04A0" w:firstRow="1" w:lastRow="0" w:firstColumn="1" w:lastColumn="0" w:noHBand="0" w:noVBand="1"/>
      </w:tblPr>
      <w:tblGrid>
        <w:gridCol w:w="1516"/>
        <w:gridCol w:w="7500"/>
      </w:tblGrid>
      <w:tr w:rsidR="006D1117" w:rsidRPr="009819AC" w:rsidTr="009C4A4F">
        <w:tc>
          <w:tcPr>
            <w:tcW w:w="9016" w:type="dxa"/>
            <w:gridSpan w:val="2"/>
            <w:shd w:val="clear" w:color="auto" w:fill="4BACC6" w:themeFill="accent5"/>
          </w:tcPr>
          <w:p w:rsidR="006D1117" w:rsidRPr="006D1117" w:rsidRDefault="006D1117" w:rsidP="009819AC">
            <w:pPr>
              <w:jc w:val="both"/>
            </w:pPr>
            <w:r w:rsidRPr="006D1117">
              <w:rPr>
                <w:b/>
              </w:rPr>
              <w:t>Development in C1 and C2 flood areas not meeting T</w:t>
            </w:r>
            <w:r w:rsidR="00BE6083">
              <w:rPr>
                <w:b/>
              </w:rPr>
              <w:t xml:space="preserve">echnical </w:t>
            </w:r>
            <w:r w:rsidRPr="006D1117">
              <w:rPr>
                <w:b/>
              </w:rPr>
              <w:t>A</w:t>
            </w:r>
            <w:r w:rsidR="00BE6083">
              <w:rPr>
                <w:b/>
              </w:rPr>
              <w:t xml:space="preserve">dvice </w:t>
            </w:r>
            <w:r w:rsidRPr="006D1117">
              <w:rPr>
                <w:b/>
              </w:rPr>
              <w:t>N</w:t>
            </w:r>
            <w:r w:rsidR="00BE6083">
              <w:rPr>
                <w:b/>
              </w:rPr>
              <w:t>ote</w:t>
            </w:r>
            <w:r w:rsidRPr="006D1117">
              <w:rPr>
                <w:b/>
              </w:rPr>
              <w:t xml:space="preserve"> 15 tests</w:t>
            </w:r>
            <w:r w:rsidR="009D75FB">
              <w:rPr>
                <w:b/>
              </w:rPr>
              <w:t xml:space="preserve"> </w:t>
            </w:r>
          </w:p>
        </w:tc>
      </w:tr>
      <w:tr w:rsidR="009C4A4F" w:rsidRPr="009819AC" w:rsidTr="00010831">
        <w:tc>
          <w:tcPr>
            <w:tcW w:w="1516" w:type="dxa"/>
            <w:vMerge w:val="restart"/>
            <w:shd w:val="clear" w:color="auto" w:fill="00B050"/>
          </w:tcPr>
          <w:p w:rsidR="009C4A4F" w:rsidRPr="00010831" w:rsidRDefault="009C4A4F" w:rsidP="0055001A">
            <w:pPr>
              <w:jc w:val="center"/>
              <w:rPr>
                <w:b/>
              </w:rPr>
            </w:pPr>
            <w:r w:rsidRPr="00010831">
              <w:rPr>
                <w:b/>
              </w:rPr>
              <w:t>Continue Monitoring</w:t>
            </w:r>
          </w:p>
        </w:tc>
        <w:tc>
          <w:tcPr>
            <w:tcW w:w="7500" w:type="dxa"/>
            <w:shd w:val="clear" w:color="auto" w:fill="00B050"/>
          </w:tcPr>
          <w:p w:rsidR="00FE4314" w:rsidRPr="00010831" w:rsidRDefault="00FE4314" w:rsidP="00FE4314">
            <w:pPr>
              <w:jc w:val="both"/>
              <w:rPr>
                <w:b/>
              </w:rPr>
            </w:pPr>
            <w:r w:rsidRPr="00010831">
              <w:rPr>
                <w:b/>
              </w:rPr>
              <w:t>Third Monitoring Period</w:t>
            </w:r>
          </w:p>
          <w:p w:rsidR="003E021B" w:rsidRPr="00010831" w:rsidRDefault="00010831" w:rsidP="00FE4314">
            <w:pPr>
              <w:jc w:val="both"/>
            </w:pPr>
            <w:r w:rsidRPr="00010831">
              <w:t>0</w:t>
            </w:r>
            <w:r w:rsidR="003E021B" w:rsidRPr="00010831">
              <w:t xml:space="preserve"> permission was</w:t>
            </w:r>
            <w:r w:rsidR="00FE4314" w:rsidRPr="00010831">
              <w:t xml:space="preserve"> granted planning permission in a C1 or C2 floodplain area, not meeting Technical Advice Note 15 tests.</w:t>
            </w:r>
          </w:p>
        </w:tc>
      </w:tr>
      <w:tr w:rsidR="009C4A4F" w:rsidRPr="009819AC" w:rsidTr="00010831">
        <w:tc>
          <w:tcPr>
            <w:tcW w:w="1516" w:type="dxa"/>
            <w:vMerge/>
            <w:shd w:val="clear" w:color="auto" w:fill="00B050"/>
          </w:tcPr>
          <w:p w:rsidR="009C4A4F" w:rsidRPr="009819AC" w:rsidRDefault="009C4A4F" w:rsidP="0055001A">
            <w:pPr>
              <w:jc w:val="center"/>
              <w:rPr>
                <w:b/>
              </w:rPr>
            </w:pPr>
          </w:p>
        </w:tc>
        <w:tc>
          <w:tcPr>
            <w:tcW w:w="7500" w:type="dxa"/>
            <w:shd w:val="clear" w:color="auto" w:fill="BFBFBF" w:themeFill="background1" w:themeFillShade="BF"/>
          </w:tcPr>
          <w:p w:rsidR="009C4A4F" w:rsidRPr="009C4A4F" w:rsidRDefault="009C4A4F" w:rsidP="009819AC">
            <w:pPr>
              <w:jc w:val="both"/>
              <w:rPr>
                <w:b/>
              </w:rPr>
            </w:pPr>
            <w:r w:rsidRPr="009C4A4F">
              <w:rPr>
                <w:b/>
              </w:rPr>
              <w:t>Second Monitoring Period</w:t>
            </w:r>
          </w:p>
          <w:p w:rsidR="009C4A4F" w:rsidRPr="00FD4E77" w:rsidRDefault="009C4A4F" w:rsidP="009819AC">
            <w:pPr>
              <w:jc w:val="both"/>
            </w:pPr>
            <w:r w:rsidRPr="00FD4E77">
              <w:t>No permissions were granted planning permission in a C1 or C2 floodplain area, not meeting T</w:t>
            </w:r>
            <w:r>
              <w:t xml:space="preserve">echnical </w:t>
            </w:r>
            <w:r w:rsidRPr="00FD4E77">
              <w:t>A</w:t>
            </w:r>
            <w:r>
              <w:t xml:space="preserve">dvice </w:t>
            </w:r>
            <w:r w:rsidRPr="00FD4E77">
              <w:t>N</w:t>
            </w:r>
            <w:r>
              <w:t xml:space="preserve">ote </w:t>
            </w:r>
            <w:r w:rsidRPr="00FD4E77">
              <w:t>15 tests.</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shd w:val="clear" w:color="auto" w:fill="D9D9D9" w:themeFill="background1" w:themeFillShade="D9"/>
          </w:tcPr>
          <w:p w:rsidR="009C4A4F" w:rsidRDefault="009C4A4F" w:rsidP="009819AC">
            <w:pPr>
              <w:jc w:val="both"/>
              <w:rPr>
                <w:b/>
              </w:rPr>
            </w:pPr>
            <w:r>
              <w:rPr>
                <w:b/>
              </w:rPr>
              <w:t>First Monitoring Period:</w:t>
            </w:r>
          </w:p>
          <w:p w:rsidR="009C4A4F" w:rsidRPr="00BE740A" w:rsidRDefault="009C4A4F" w:rsidP="009819AC">
            <w:pPr>
              <w:jc w:val="both"/>
            </w:pPr>
            <w:r w:rsidRPr="00BE740A">
              <w:t>No permissions were granted planning permission in a C1 or C2 floodplain area, not meeting Technical Advice Note 15 tests.</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6D1117" w:rsidRDefault="009C4A4F" w:rsidP="009819AC">
            <w:pPr>
              <w:jc w:val="both"/>
              <w:rPr>
                <w:b/>
              </w:rPr>
            </w:pPr>
            <w:r w:rsidRPr="006D1117">
              <w:rPr>
                <w:b/>
              </w:rPr>
              <w:t>Comments:</w:t>
            </w:r>
          </w:p>
          <w:p w:rsidR="009C4A4F" w:rsidRPr="00FD4E77" w:rsidRDefault="009C4A4F" w:rsidP="009819AC">
            <w:pPr>
              <w:jc w:val="both"/>
            </w:pPr>
            <w:r>
              <w:t>None.</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EC084D" w:rsidRDefault="009C4A4F" w:rsidP="006D1117">
            <w:pPr>
              <w:jc w:val="both"/>
              <w:rPr>
                <w:b/>
              </w:rPr>
            </w:pPr>
            <w:r w:rsidRPr="00EC084D">
              <w:rPr>
                <w:b/>
              </w:rPr>
              <w:t>Recommendation:</w:t>
            </w:r>
          </w:p>
          <w:p w:rsidR="009C4A4F" w:rsidRPr="00FD4E77" w:rsidRDefault="009C4A4F" w:rsidP="006D1117">
            <w:pPr>
              <w:jc w:val="both"/>
            </w:pPr>
            <w:r>
              <w:t>The requirement of this indicator is being met.  It is, however, considered to be an important indicator and will continue to be monitored.</w:t>
            </w:r>
          </w:p>
        </w:tc>
      </w:tr>
    </w:tbl>
    <w:p w:rsidR="00657C73" w:rsidRDefault="00657C73" w:rsidP="007467EF">
      <w:pPr>
        <w:jc w:val="both"/>
        <w:rPr>
          <w:b/>
        </w:rPr>
      </w:pPr>
    </w:p>
    <w:p w:rsidR="00855D5C" w:rsidRPr="007467EF" w:rsidRDefault="00855D5C" w:rsidP="007467EF">
      <w:pPr>
        <w:jc w:val="both"/>
        <w:rPr>
          <w:b/>
        </w:rPr>
      </w:pPr>
      <w:r>
        <w:rPr>
          <w:b/>
        </w:rPr>
        <w:t>Figure 26</w:t>
      </w:r>
    </w:p>
    <w:tbl>
      <w:tblPr>
        <w:tblStyle w:val="TableGrid"/>
        <w:tblW w:w="0" w:type="auto"/>
        <w:tblLook w:val="04A0" w:firstRow="1" w:lastRow="0" w:firstColumn="1" w:lastColumn="0" w:noHBand="0" w:noVBand="1"/>
      </w:tblPr>
      <w:tblGrid>
        <w:gridCol w:w="1516"/>
        <w:gridCol w:w="7500"/>
      </w:tblGrid>
      <w:tr w:rsidR="006D1117" w:rsidRPr="009819AC" w:rsidTr="009C4A4F">
        <w:tc>
          <w:tcPr>
            <w:tcW w:w="9016" w:type="dxa"/>
            <w:gridSpan w:val="2"/>
            <w:shd w:val="clear" w:color="auto" w:fill="4BACC6" w:themeFill="accent5"/>
          </w:tcPr>
          <w:p w:rsidR="006D1117" w:rsidRPr="006D1117" w:rsidRDefault="006D1117" w:rsidP="00AE0BA1">
            <w:pPr>
              <w:jc w:val="both"/>
              <w:rPr>
                <w:b/>
              </w:rPr>
            </w:pPr>
            <w:r w:rsidRPr="006D1117">
              <w:rPr>
                <w:b/>
              </w:rPr>
              <w:t>Planning consents contrary to advice of N</w:t>
            </w:r>
            <w:r w:rsidR="00BE6083">
              <w:rPr>
                <w:b/>
              </w:rPr>
              <w:t xml:space="preserve">atural </w:t>
            </w:r>
            <w:r w:rsidRPr="006D1117">
              <w:rPr>
                <w:b/>
              </w:rPr>
              <w:t>R</w:t>
            </w:r>
            <w:r w:rsidR="00BE6083">
              <w:rPr>
                <w:b/>
              </w:rPr>
              <w:t xml:space="preserve">esources </w:t>
            </w:r>
            <w:r w:rsidRPr="006D1117">
              <w:rPr>
                <w:b/>
              </w:rPr>
              <w:t>W</w:t>
            </w:r>
            <w:r w:rsidR="00BE6083">
              <w:rPr>
                <w:b/>
              </w:rPr>
              <w:t>ales</w:t>
            </w:r>
            <w:r w:rsidRPr="006D1117">
              <w:rPr>
                <w:b/>
              </w:rPr>
              <w:t xml:space="preserve"> and D</w:t>
            </w:r>
            <w:r w:rsidR="00BE6083">
              <w:rPr>
                <w:b/>
              </w:rPr>
              <w:t xml:space="preserve">wr </w:t>
            </w:r>
            <w:r w:rsidRPr="006D1117">
              <w:rPr>
                <w:b/>
              </w:rPr>
              <w:t>C</w:t>
            </w:r>
            <w:r w:rsidR="00BE6083">
              <w:rPr>
                <w:b/>
              </w:rPr>
              <w:t xml:space="preserve">ymru </w:t>
            </w:r>
            <w:r w:rsidRPr="006D1117">
              <w:rPr>
                <w:b/>
              </w:rPr>
              <w:t>W</w:t>
            </w:r>
            <w:r w:rsidR="00BE6083">
              <w:rPr>
                <w:b/>
              </w:rPr>
              <w:t xml:space="preserve">elsh </w:t>
            </w:r>
            <w:r w:rsidRPr="006D1117">
              <w:rPr>
                <w:b/>
              </w:rPr>
              <w:t>W</w:t>
            </w:r>
            <w:r w:rsidR="00BE6083">
              <w:rPr>
                <w:b/>
              </w:rPr>
              <w:t>ater</w:t>
            </w:r>
            <w:r w:rsidRPr="006D1117">
              <w:rPr>
                <w:b/>
              </w:rPr>
              <w:t xml:space="preserve"> regarding water quality/quantity </w:t>
            </w:r>
          </w:p>
        </w:tc>
      </w:tr>
      <w:tr w:rsidR="009C4A4F" w:rsidRPr="009819AC" w:rsidTr="00010831">
        <w:tc>
          <w:tcPr>
            <w:tcW w:w="1516" w:type="dxa"/>
            <w:vMerge w:val="restart"/>
            <w:shd w:val="clear" w:color="auto" w:fill="00B050"/>
          </w:tcPr>
          <w:p w:rsidR="009C4A4F" w:rsidRDefault="009C4A4F" w:rsidP="0055001A">
            <w:pPr>
              <w:jc w:val="center"/>
              <w:rPr>
                <w:b/>
              </w:rPr>
            </w:pPr>
            <w:r>
              <w:rPr>
                <w:b/>
              </w:rPr>
              <w:t>Continue Monitoring</w:t>
            </w:r>
          </w:p>
        </w:tc>
        <w:tc>
          <w:tcPr>
            <w:tcW w:w="7500" w:type="dxa"/>
            <w:shd w:val="clear" w:color="auto" w:fill="00B050"/>
          </w:tcPr>
          <w:p w:rsidR="00C80B94" w:rsidRPr="00010831" w:rsidRDefault="00C80B94" w:rsidP="00C80B94">
            <w:pPr>
              <w:tabs>
                <w:tab w:val="left" w:pos="2844"/>
              </w:tabs>
              <w:jc w:val="both"/>
              <w:rPr>
                <w:b/>
              </w:rPr>
            </w:pPr>
            <w:r w:rsidRPr="00010831">
              <w:rPr>
                <w:b/>
              </w:rPr>
              <w:t>Third Monitoring Period</w:t>
            </w:r>
            <w:r w:rsidRPr="00010831">
              <w:rPr>
                <w:b/>
              </w:rPr>
              <w:tab/>
            </w:r>
          </w:p>
          <w:p w:rsidR="009C4A4F" w:rsidRPr="009C4A4F" w:rsidRDefault="00C80B94" w:rsidP="00C80B94">
            <w:pPr>
              <w:tabs>
                <w:tab w:val="left" w:pos="2844"/>
              </w:tabs>
              <w:jc w:val="both"/>
              <w:rPr>
                <w:b/>
              </w:rPr>
            </w:pPr>
            <w:r w:rsidRPr="00010831">
              <w:t>No permissions granted planning permission contrary to the advice of Natural Resources Wales or Dwr Cymru Welsh Water regarding water quality or quantity.</w:t>
            </w:r>
          </w:p>
        </w:tc>
      </w:tr>
      <w:tr w:rsidR="009C4A4F" w:rsidRPr="009819AC" w:rsidTr="00010831">
        <w:tc>
          <w:tcPr>
            <w:tcW w:w="1516" w:type="dxa"/>
            <w:vMerge/>
            <w:shd w:val="clear" w:color="auto" w:fill="00B050"/>
          </w:tcPr>
          <w:p w:rsidR="009C4A4F" w:rsidRPr="009819AC" w:rsidRDefault="009C4A4F" w:rsidP="0055001A">
            <w:pPr>
              <w:jc w:val="center"/>
              <w:rPr>
                <w:b/>
              </w:rPr>
            </w:pPr>
          </w:p>
        </w:tc>
        <w:tc>
          <w:tcPr>
            <w:tcW w:w="7500" w:type="dxa"/>
            <w:shd w:val="clear" w:color="auto" w:fill="BFBFBF" w:themeFill="background1" w:themeFillShade="BF"/>
          </w:tcPr>
          <w:p w:rsidR="009C4A4F" w:rsidRPr="009C4A4F" w:rsidRDefault="009C4A4F" w:rsidP="009C4A4F">
            <w:pPr>
              <w:tabs>
                <w:tab w:val="left" w:pos="2844"/>
              </w:tabs>
              <w:jc w:val="both"/>
              <w:rPr>
                <w:b/>
              </w:rPr>
            </w:pPr>
            <w:r w:rsidRPr="009C4A4F">
              <w:rPr>
                <w:b/>
              </w:rPr>
              <w:t>Second Monitoring Period</w:t>
            </w:r>
            <w:r>
              <w:rPr>
                <w:b/>
              </w:rPr>
              <w:tab/>
            </w:r>
          </w:p>
          <w:p w:rsidR="009C4A4F" w:rsidRPr="00FD4E77" w:rsidRDefault="009C4A4F" w:rsidP="00AE0BA1">
            <w:pPr>
              <w:jc w:val="both"/>
            </w:pPr>
            <w:r w:rsidRPr="00FD4E77">
              <w:t>No permissions granted planning permission contrary to the advice of N</w:t>
            </w:r>
            <w:r>
              <w:t xml:space="preserve">atural </w:t>
            </w:r>
            <w:r w:rsidRPr="00FD4E77">
              <w:t>R</w:t>
            </w:r>
            <w:r>
              <w:t xml:space="preserve">esources </w:t>
            </w:r>
            <w:r w:rsidRPr="00FD4E77">
              <w:t>W</w:t>
            </w:r>
            <w:r>
              <w:t>ales</w:t>
            </w:r>
            <w:r w:rsidRPr="00FD4E77">
              <w:t xml:space="preserve"> or D</w:t>
            </w:r>
            <w:r>
              <w:t xml:space="preserve">wr </w:t>
            </w:r>
            <w:r w:rsidRPr="00FD4E77">
              <w:t>C</w:t>
            </w:r>
            <w:r>
              <w:t xml:space="preserve">ymru </w:t>
            </w:r>
            <w:r w:rsidRPr="00FD4E77">
              <w:t>W</w:t>
            </w:r>
            <w:r>
              <w:t xml:space="preserve">elsh </w:t>
            </w:r>
            <w:r w:rsidRPr="00FD4E77">
              <w:t>W</w:t>
            </w:r>
            <w:r>
              <w:t>ater</w:t>
            </w:r>
            <w:r w:rsidRPr="00FD4E77">
              <w:t xml:space="preserve"> regarding water quality or quantity.</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shd w:val="clear" w:color="auto" w:fill="D9D9D9" w:themeFill="background1" w:themeFillShade="D9"/>
          </w:tcPr>
          <w:p w:rsidR="009C4A4F" w:rsidRPr="00BE740A" w:rsidRDefault="009C4A4F" w:rsidP="00AE0BA1">
            <w:pPr>
              <w:jc w:val="both"/>
              <w:rPr>
                <w:b/>
              </w:rPr>
            </w:pPr>
            <w:r>
              <w:rPr>
                <w:b/>
              </w:rPr>
              <w:t>First</w:t>
            </w:r>
            <w:r w:rsidRPr="00BE740A">
              <w:rPr>
                <w:b/>
              </w:rPr>
              <w:t xml:space="preserve"> Monitoring Period:</w:t>
            </w:r>
          </w:p>
          <w:p w:rsidR="009C4A4F" w:rsidRPr="00FD4E77" w:rsidRDefault="009C4A4F" w:rsidP="00AE0BA1">
            <w:pPr>
              <w:jc w:val="both"/>
            </w:pPr>
            <w:r w:rsidRPr="00BE740A">
              <w:t>No permissions granted planning permission contrary to the advice of Natural Resources Wales or Dwr Cymru Welsh Water regarding water quality or quantity.</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6D1117" w:rsidRDefault="009C4A4F" w:rsidP="00AE0BA1">
            <w:pPr>
              <w:jc w:val="both"/>
              <w:rPr>
                <w:b/>
              </w:rPr>
            </w:pPr>
            <w:r w:rsidRPr="006D1117">
              <w:rPr>
                <w:b/>
              </w:rPr>
              <w:t>Comments:</w:t>
            </w:r>
          </w:p>
          <w:p w:rsidR="009C4A4F" w:rsidRPr="00FD4E77" w:rsidRDefault="009C4A4F" w:rsidP="00AE0BA1">
            <w:pPr>
              <w:jc w:val="both"/>
            </w:pPr>
            <w:r>
              <w:t>None.</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EC084D" w:rsidRDefault="009C4A4F" w:rsidP="006D1117">
            <w:pPr>
              <w:jc w:val="both"/>
              <w:rPr>
                <w:b/>
              </w:rPr>
            </w:pPr>
            <w:r w:rsidRPr="00EC084D">
              <w:rPr>
                <w:b/>
              </w:rPr>
              <w:t>Recommendation:</w:t>
            </w:r>
          </w:p>
          <w:p w:rsidR="009C4A4F" w:rsidRPr="00FD4E77" w:rsidRDefault="009C4A4F" w:rsidP="006D1117">
            <w:pPr>
              <w:jc w:val="both"/>
            </w:pPr>
            <w:r>
              <w:t>The requirement of this indicator is being met.  It is, however, considered to be an important indicator and will continue to be monitored.</w:t>
            </w:r>
          </w:p>
        </w:tc>
      </w:tr>
    </w:tbl>
    <w:p w:rsidR="007467EF" w:rsidRDefault="007467EF" w:rsidP="009D75FB">
      <w:pPr>
        <w:jc w:val="both"/>
        <w:rPr>
          <w:b/>
        </w:rPr>
      </w:pPr>
    </w:p>
    <w:p w:rsidR="00855D5C" w:rsidRPr="009D75FB" w:rsidRDefault="00855D5C" w:rsidP="009D75FB">
      <w:pPr>
        <w:jc w:val="both"/>
        <w:rPr>
          <w:b/>
        </w:rPr>
      </w:pPr>
      <w:r>
        <w:rPr>
          <w:b/>
        </w:rPr>
        <w:t>Figure 27</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sidRPr="006D1117">
              <w:rPr>
                <w:b/>
              </w:rPr>
              <w:t>Number of applications which consider climate change adaptation techniques within D</w:t>
            </w:r>
            <w:r w:rsidR="00BE6083">
              <w:rPr>
                <w:b/>
              </w:rPr>
              <w:t xml:space="preserve">esign and </w:t>
            </w:r>
            <w:r w:rsidRPr="006D1117">
              <w:rPr>
                <w:b/>
              </w:rPr>
              <w:t>A</w:t>
            </w:r>
            <w:r w:rsidR="00BE6083">
              <w:rPr>
                <w:b/>
              </w:rPr>
              <w:t xml:space="preserve">ccess </w:t>
            </w:r>
            <w:r w:rsidRPr="006D1117">
              <w:rPr>
                <w:b/>
              </w:rPr>
              <w:t>S</w:t>
            </w:r>
            <w:r w:rsidR="00BE6083">
              <w:rPr>
                <w:b/>
              </w:rPr>
              <w:t>tatements</w:t>
            </w:r>
            <w:r w:rsidRPr="006D1117">
              <w:rPr>
                <w:b/>
              </w:rPr>
              <w:t xml:space="preserve"> </w:t>
            </w:r>
          </w:p>
        </w:tc>
      </w:tr>
      <w:tr w:rsidR="006427AD" w:rsidRPr="009819AC" w:rsidTr="009056AA">
        <w:tc>
          <w:tcPr>
            <w:tcW w:w="1516" w:type="dxa"/>
            <w:vMerge w:val="restart"/>
            <w:shd w:val="clear" w:color="auto" w:fill="00B050"/>
          </w:tcPr>
          <w:p w:rsidR="006427AD" w:rsidRDefault="006427AD" w:rsidP="006D1117">
            <w:pPr>
              <w:jc w:val="center"/>
              <w:rPr>
                <w:b/>
              </w:rPr>
            </w:pPr>
            <w:r>
              <w:rPr>
                <w:b/>
              </w:rPr>
              <w:t>Continue Monitoring</w:t>
            </w:r>
          </w:p>
        </w:tc>
        <w:tc>
          <w:tcPr>
            <w:tcW w:w="7500" w:type="dxa"/>
            <w:shd w:val="clear" w:color="auto" w:fill="00B050"/>
          </w:tcPr>
          <w:p w:rsidR="00FE2CBF" w:rsidRPr="009056AA" w:rsidRDefault="00FE2CBF" w:rsidP="00FE2CBF">
            <w:pPr>
              <w:jc w:val="both"/>
              <w:rPr>
                <w:b/>
              </w:rPr>
            </w:pPr>
            <w:r w:rsidRPr="009056AA">
              <w:rPr>
                <w:b/>
              </w:rPr>
              <w:t>Third Monitoring Period</w:t>
            </w:r>
          </w:p>
          <w:p w:rsidR="006427AD" w:rsidRPr="006427AD" w:rsidRDefault="00FE2CBF" w:rsidP="00FE2CBF">
            <w:pPr>
              <w:jc w:val="both"/>
              <w:rPr>
                <w:b/>
              </w:rPr>
            </w:pPr>
            <w:r w:rsidRPr="009056AA">
              <w:t>0 applications for major development have been received where climate change was not considered within the Design and Access Statement.</w:t>
            </w:r>
            <w:r w:rsidRPr="00FD4E77">
              <w:t xml:space="preserve">  </w:t>
            </w:r>
          </w:p>
        </w:tc>
      </w:tr>
      <w:tr w:rsidR="006427AD" w:rsidRPr="009819AC" w:rsidTr="009056AA">
        <w:tc>
          <w:tcPr>
            <w:tcW w:w="1516" w:type="dxa"/>
            <w:vMerge/>
            <w:shd w:val="clear" w:color="auto" w:fill="00B050"/>
          </w:tcPr>
          <w:p w:rsidR="006427AD" w:rsidRPr="009819AC" w:rsidRDefault="006427AD" w:rsidP="006D1117">
            <w:pPr>
              <w:jc w:val="center"/>
              <w:rPr>
                <w:b/>
              </w:rPr>
            </w:pPr>
          </w:p>
        </w:tc>
        <w:tc>
          <w:tcPr>
            <w:tcW w:w="7500" w:type="dxa"/>
            <w:shd w:val="clear" w:color="auto" w:fill="BFBFBF" w:themeFill="background1" w:themeFillShade="BF"/>
          </w:tcPr>
          <w:p w:rsidR="006427AD" w:rsidRPr="006427AD" w:rsidRDefault="006427AD" w:rsidP="006D1117">
            <w:pPr>
              <w:jc w:val="both"/>
              <w:rPr>
                <w:b/>
              </w:rPr>
            </w:pPr>
            <w:r w:rsidRPr="006427AD">
              <w:rPr>
                <w:b/>
              </w:rPr>
              <w:t>Second Monitoring Period</w:t>
            </w:r>
          </w:p>
          <w:p w:rsidR="006427AD" w:rsidRPr="00FD4E77" w:rsidRDefault="006427AD" w:rsidP="006D1117">
            <w:pPr>
              <w:jc w:val="both"/>
            </w:pPr>
            <w:r>
              <w:t>0</w:t>
            </w:r>
            <w:r w:rsidRPr="00FD4E77">
              <w:t xml:space="preserve"> application</w:t>
            </w:r>
            <w:r>
              <w:t>s for major development have</w:t>
            </w:r>
            <w:r w:rsidRPr="00FD4E77">
              <w:t xml:space="preserve"> been received where climate change was not considered within the D</w:t>
            </w:r>
            <w:r>
              <w:t xml:space="preserve">esign and </w:t>
            </w:r>
            <w:r w:rsidRPr="00FD4E77">
              <w:t>A</w:t>
            </w:r>
            <w:r>
              <w:t xml:space="preserve">ccess </w:t>
            </w:r>
            <w:r w:rsidRPr="00FD4E77">
              <w:t>S</w:t>
            </w:r>
            <w:r>
              <w:t>tatement</w:t>
            </w:r>
            <w:r w:rsidRPr="00FD4E77">
              <w:t xml:space="preserve">.  </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shd w:val="clear" w:color="auto" w:fill="D9D9D9" w:themeFill="background1" w:themeFillShade="D9"/>
          </w:tcPr>
          <w:p w:rsidR="006427AD" w:rsidRDefault="006427AD" w:rsidP="009819AC">
            <w:pPr>
              <w:jc w:val="both"/>
              <w:rPr>
                <w:b/>
              </w:rPr>
            </w:pPr>
            <w:r>
              <w:rPr>
                <w:b/>
              </w:rPr>
              <w:t>First Monitoring Period:</w:t>
            </w:r>
          </w:p>
          <w:p w:rsidR="006427AD" w:rsidRPr="006D1117" w:rsidRDefault="006427AD" w:rsidP="009819AC">
            <w:pPr>
              <w:jc w:val="both"/>
              <w:rPr>
                <w:b/>
              </w:rPr>
            </w:pPr>
            <w:r>
              <w:lastRenderedPageBreak/>
              <w:t>0</w:t>
            </w:r>
            <w:r w:rsidRPr="00FD4E77">
              <w:t xml:space="preserve"> application</w:t>
            </w:r>
            <w:r>
              <w:t>s for major development have</w:t>
            </w:r>
            <w:r w:rsidRPr="00FD4E77">
              <w:t xml:space="preserve"> been received where climate change was not considered within the D</w:t>
            </w:r>
            <w:r>
              <w:t xml:space="preserve">esign and </w:t>
            </w:r>
            <w:r w:rsidRPr="00FD4E77">
              <w:t>A</w:t>
            </w:r>
            <w:r>
              <w:t xml:space="preserve">ccess </w:t>
            </w:r>
            <w:r w:rsidRPr="00FD4E77">
              <w:t>S</w:t>
            </w:r>
            <w:r>
              <w:t>tatement</w:t>
            </w:r>
            <w:r w:rsidRPr="00FD4E77">
              <w:t xml:space="preserve">.  </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tcPr>
          <w:p w:rsidR="006427AD" w:rsidRPr="006D1117" w:rsidRDefault="006427AD" w:rsidP="009819AC">
            <w:pPr>
              <w:jc w:val="both"/>
              <w:rPr>
                <w:b/>
              </w:rPr>
            </w:pPr>
            <w:r w:rsidRPr="006D1117">
              <w:rPr>
                <w:b/>
              </w:rPr>
              <w:t>Comments:</w:t>
            </w:r>
          </w:p>
          <w:p w:rsidR="006427AD" w:rsidRPr="00FD4E77" w:rsidRDefault="006427AD" w:rsidP="009819AC">
            <w:pPr>
              <w:jc w:val="both"/>
            </w:pPr>
            <w:r>
              <w:t>None.</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tcPr>
          <w:p w:rsidR="006427AD" w:rsidRPr="006D1117" w:rsidRDefault="006427AD" w:rsidP="006D1117">
            <w:pPr>
              <w:jc w:val="both"/>
              <w:rPr>
                <w:b/>
              </w:rPr>
            </w:pPr>
            <w:r w:rsidRPr="006D1117">
              <w:rPr>
                <w:b/>
              </w:rPr>
              <w:t>Recommendation:</w:t>
            </w:r>
          </w:p>
          <w:p w:rsidR="006427AD" w:rsidRPr="00FD4E77" w:rsidRDefault="006427AD" w:rsidP="006D1117">
            <w:pPr>
              <w:jc w:val="both"/>
            </w:pPr>
            <w:r w:rsidRPr="006D1117">
              <w:t>The requirement of this indicator is being met.  It is, however, considered to be an important indicator and will continue to be monitored.</w:t>
            </w:r>
          </w:p>
        </w:tc>
      </w:tr>
    </w:tbl>
    <w:p w:rsidR="003601A4" w:rsidRDefault="003601A4" w:rsidP="00AC6D01">
      <w:pPr>
        <w:jc w:val="both"/>
        <w:rPr>
          <w:b/>
        </w:rPr>
      </w:pPr>
    </w:p>
    <w:p w:rsidR="003601A4" w:rsidRDefault="00855D5C" w:rsidP="00855D5C">
      <w:pPr>
        <w:jc w:val="both"/>
        <w:rPr>
          <w:b/>
        </w:rPr>
      </w:pPr>
      <w:r>
        <w:rPr>
          <w:b/>
        </w:rPr>
        <w:t>Figure 28</w:t>
      </w:r>
    </w:p>
    <w:tbl>
      <w:tblPr>
        <w:tblStyle w:val="TableGrid"/>
        <w:tblW w:w="0" w:type="auto"/>
        <w:tblLook w:val="04A0" w:firstRow="1" w:lastRow="0" w:firstColumn="1" w:lastColumn="0" w:noHBand="0" w:noVBand="1"/>
      </w:tblPr>
      <w:tblGrid>
        <w:gridCol w:w="1516"/>
        <w:gridCol w:w="7500"/>
      </w:tblGrid>
      <w:tr w:rsidR="00BE740A" w:rsidRPr="006D1117" w:rsidTr="007172CB">
        <w:tc>
          <w:tcPr>
            <w:tcW w:w="9016" w:type="dxa"/>
            <w:gridSpan w:val="2"/>
            <w:shd w:val="clear" w:color="auto" w:fill="4BACC6" w:themeFill="accent5"/>
          </w:tcPr>
          <w:p w:rsidR="00BE740A" w:rsidRPr="006D1117" w:rsidRDefault="00BE740A" w:rsidP="008141E1">
            <w:pPr>
              <w:jc w:val="both"/>
              <w:rPr>
                <w:b/>
              </w:rPr>
            </w:pPr>
            <w:r w:rsidRPr="006D1117">
              <w:rPr>
                <w:b/>
              </w:rPr>
              <w:t>Number of applications for larger developments that fail to provide 20% of their energy from low or zero carbon resources</w:t>
            </w:r>
            <w:r>
              <w:rPr>
                <w:b/>
              </w:rPr>
              <w:t xml:space="preserve"> </w:t>
            </w:r>
          </w:p>
        </w:tc>
      </w:tr>
      <w:tr w:rsidR="007172CB" w:rsidRPr="009819AC" w:rsidTr="007172CB">
        <w:tc>
          <w:tcPr>
            <w:tcW w:w="1516" w:type="dxa"/>
            <w:vMerge w:val="restart"/>
            <w:shd w:val="clear" w:color="auto" w:fill="7F7F7F" w:themeFill="text1" w:themeFillTint="80"/>
          </w:tcPr>
          <w:p w:rsidR="007172CB" w:rsidRDefault="007172CB" w:rsidP="008141E1">
            <w:pPr>
              <w:jc w:val="center"/>
              <w:rPr>
                <w:b/>
              </w:rPr>
            </w:pPr>
            <w:r>
              <w:rPr>
                <w:b/>
              </w:rPr>
              <w:t>Ceased Monitoring following previous monitoring period</w:t>
            </w:r>
          </w:p>
        </w:tc>
        <w:tc>
          <w:tcPr>
            <w:tcW w:w="7500" w:type="dxa"/>
            <w:shd w:val="clear" w:color="auto" w:fill="808080" w:themeFill="background1" w:themeFillShade="80"/>
          </w:tcPr>
          <w:p w:rsidR="007172CB" w:rsidRPr="007172CB" w:rsidRDefault="007172CB" w:rsidP="008141E1">
            <w:pPr>
              <w:jc w:val="both"/>
            </w:pPr>
            <w:r w:rsidRPr="007172CB">
              <w:t>Ceased monitoring.</w:t>
            </w:r>
          </w:p>
        </w:tc>
      </w:tr>
      <w:tr w:rsidR="007172CB" w:rsidRPr="009819AC" w:rsidTr="007172CB">
        <w:tc>
          <w:tcPr>
            <w:tcW w:w="1516" w:type="dxa"/>
            <w:vMerge/>
            <w:shd w:val="clear" w:color="auto" w:fill="7F7F7F" w:themeFill="text1" w:themeFillTint="80"/>
          </w:tcPr>
          <w:p w:rsidR="007172CB" w:rsidRPr="009819AC" w:rsidRDefault="007172CB" w:rsidP="008141E1">
            <w:pPr>
              <w:jc w:val="center"/>
              <w:rPr>
                <w:b/>
              </w:rPr>
            </w:pPr>
          </w:p>
        </w:tc>
        <w:tc>
          <w:tcPr>
            <w:tcW w:w="7500" w:type="dxa"/>
            <w:shd w:val="clear" w:color="auto" w:fill="D9D9D9" w:themeFill="background1" w:themeFillShade="D9"/>
          </w:tcPr>
          <w:p w:rsidR="007172CB" w:rsidRPr="00BE740A" w:rsidRDefault="007172CB" w:rsidP="008141E1">
            <w:pPr>
              <w:jc w:val="both"/>
              <w:rPr>
                <w:b/>
              </w:rPr>
            </w:pPr>
            <w:r w:rsidRPr="00BE740A">
              <w:rPr>
                <w:b/>
              </w:rPr>
              <w:t>Previous Monitoring Period:</w:t>
            </w:r>
          </w:p>
          <w:p w:rsidR="007172CB" w:rsidRPr="00E86577" w:rsidRDefault="007172CB" w:rsidP="008141E1">
            <w:pPr>
              <w:jc w:val="both"/>
            </w:pPr>
            <w:r w:rsidRPr="00E86577">
              <w:t xml:space="preserve">Residential - The NPA received 6 applications for 3 or more dwellings during the period.  Of these applications 0 reached the target of 20% energy needs from renewables.  1 achieved 15%, another utilised PV panels to power all shared spaces within the redevelopment of a nursing home to market units.  The remaining 3 applications did not utilised LCZ technology within their design.  </w:t>
            </w:r>
          </w:p>
          <w:p w:rsidR="007172CB" w:rsidRPr="00E86577" w:rsidRDefault="007172CB" w:rsidP="008141E1">
            <w:pPr>
              <w:jc w:val="both"/>
            </w:pPr>
          </w:p>
          <w:p w:rsidR="007172CB" w:rsidRPr="009819AC" w:rsidRDefault="007172CB" w:rsidP="008141E1">
            <w:pPr>
              <w:jc w:val="both"/>
              <w:rPr>
                <w:b/>
              </w:rPr>
            </w:pPr>
            <w:r w:rsidRPr="00E86577">
              <w:t>Employment Generating – No applications of more than 500sqm floor space permitted within the period.</w:t>
            </w:r>
          </w:p>
        </w:tc>
      </w:tr>
      <w:tr w:rsidR="007172CB" w:rsidRPr="009819AC" w:rsidTr="007172CB">
        <w:tc>
          <w:tcPr>
            <w:tcW w:w="1516" w:type="dxa"/>
            <w:vMerge/>
            <w:shd w:val="clear" w:color="auto" w:fill="7F7F7F" w:themeFill="text1" w:themeFillTint="80"/>
          </w:tcPr>
          <w:p w:rsidR="007172CB" w:rsidRDefault="007172CB" w:rsidP="008141E1">
            <w:pPr>
              <w:jc w:val="center"/>
              <w:rPr>
                <w:b/>
              </w:rPr>
            </w:pPr>
          </w:p>
        </w:tc>
        <w:tc>
          <w:tcPr>
            <w:tcW w:w="7500" w:type="dxa"/>
          </w:tcPr>
          <w:p w:rsidR="007172CB" w:rsidRDefault="007172CB" w:rsidP="008141E1">
            <w:pPr>
              <w:jc w:val="both"/>
              <w:rPr>
                <w:b/>
              </w:rPr>
            </w:pPr>
            <w:r>
              <w:rPr>
                <w:b/>
              </w:rPr>
              <w:t>Comment:</w:t>
            </w:r>
          </w:p>
          <w:p w:rsidR="007172CB" w:rsidRDefault="007172CB" w:rsidP="008141E1">
            <w:pPr>
              <w:jc w:val="both"/>
            </w:pPr>
            <w:r>
              <w:t xml:space="preserve">This indicator arose as a result of the requirements of Policy SP11 (Sustainable Development) as it was originally drafted in the Deposit Local Development Plan.  However, this specific requirement was removed from the policy by the Inspector during the Local Development Plan Examination on the basis that it was beyond the requirements of National Planning Policy.  The indicator remains in the Monitoring Framework by error as it was not picked up during the editing process and amended by way of the Matters Arising Changes.  </w:t>
            </w:r>
          </w:p>
          <w:p w:rsidR="007172CB" w:rsidRDefault="007172CB" w:rsidP="008141E1">
            <w:pPr>
              <w:jc w:val="both"/>
            </w:pPr>
          </w:p>
          <w:p w:rsidR="007172CB" w:rsidRDefault="007172CB" w:rsidP="008141E1">
            <w:pPr>
              <w:jc w:val="both"/>
            </w:pPr>
            <w:r>
              <w:t xml:space="preserve">Essentially, there is no policy in the Plan to enforce this requirement and, accordingly, it is recommended that this indicator ceases to be monitored.  </w:t>
            </w:r>
          </w:p>
          <w:p w:rsidR="007172CB" w:rsidRDefault="007172CB" w:rsidP="008141E1">
            <w:pPr>
              <w:jc w:val="both"/>
            </w:pPr>
          </w:p>
          <w:p w:rsidR="007172CB" w:rsidRPr="00E86577" w:rsidRDefault="007172CB" w:rsidP="008141E1">
            <w:pPr>
              <w:jc w:val="both"/>
            </w:pPr>
            <w:r>
              <w:t>Furthermore, there is no longer a requirement for developers to provide an assessment under the Code For Sustainable Homes as this is assessed under the Building Regulations.</w:t>
            </w:r>
          </w:p>
        </w:tc>
      </w:tr>
      <w:tr w:rsidR="007172CB" w:rsidRPr="009819AC" w:rsidTr="007172CB">
        <w:tc>
          <w:tcPr>
            <w:tcW w:w="1516" w:type="dxa"/>
            <w:vMerge/>
            <w:shd w:val="clear" w:color="auto" w:fill="7F7F7F" w:themeFill="text1" w:themeFillTint="80"/>
          </w:tcPr>
          <w:p w:rsidR="007172CB" w:rsidRDefault="007172CB" w:rsidP="008141E1">
            <w:pPr>
              <w:jc w:val="center"/>
              <w:rPr>
                <w:b/>
              </w:rPr>
            </w:pPr>
          </w:p>
        </w:tc>
        <w:tc>
          <w:tcPr>
            <w:tcW w:w="7500" w:type="dxa"/>
          </w:tcPr>
          <w:p w:rsidR="007172CB" w:rsidRDefault="007172CB" w:rsidP="008141E1">
            <w:pPr>
              <w:jc w:val="both"/>
            </w:pPr>
            <w:r w:rsidRPr="0057027D">
              <w:rPr>
                <w:b/>
              </w:rPr>
              <w:t>Recommendation</w:t>
            </w:r>
            <w:r>
              <w:t>:</w:t>
            </w:r>
          </w:p>
          <w:p w:rsidR="007172CB" w:rsidRPr="00E86577" w:rsidRDefault="007172CB" w:rsidP="008141E1">
            <w:pPr>
              <w:jc w:val="both"/>
            </w:pPr>
            <w:r>
              <w:lastRenderedPageBreak/>
              <w:t>Ceased monitoring</w:t>
            </w:r>
            <w:r w:rsidR="00F020F8">
              <w:t xml:space="preserve"> following previous monitoring period</w:t>
            </w:r>
            <w:r>
              <w:t>.</w:t>
            </w:r>
          </w:p>
        </w:tc>
      </w:tr>
    </w:tbl>
    <w:p w:rsidR="00BE740A" w:rsidRPr="00BE740A" w:rsidRDefault="00BE740A" w:rsidP="00855D5C">
      <w:pPr>
        <w:jc w:val="both"/>
        <w:rPr>
          <w:b/>
        </w:rPr>
      </w:pPr>
    </w:p>
    <w:p w:rsidR="000F28FE" w:rsidRDefault="000F28FE" w:rsidP="00855D5C">
      <w:pPr>
        <w:jc w:val="both"/>
        <w:rPr>
          <w:b/>
          <w:i/>
        </w:rPr>
      </w:pPr>
    </w:p>
    <w:p w:rsidR="00855D5C" w:rsidRPr="00855D5C" w:rsidRDefault="00855D5C" w:rsidP="00855D5C">
      <w:pPr>
        <w:jc w:val="both"/>
        <w:rPr>
          <w:b/>
        </w:rPr>
      </w:pPr>
      <w:r>
        <w:rPr>
          <w:b/>
        </w:rPr>
        <w:t>Figure 29</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sidRPr="006D1117">
              <w:rPr>
                <w:b/>
              </w:rPr>
              <w:t>Development of renewable energy schemes</w:t>
            </w:r>
            <w:r w:rsidR="009D75FB">
              <w:rPr>
                <w:b/>
              </w:rPr>
              <w:t xml:space="preserve"> </w:t>
            </w:r>
          </w:p>
        </w:tc>
      </w:tr>
      <w:tr w:rsidR="006427AD" w:rsidRPr="009819AC" w:rsidTr="009056AA">
        <w:tc>
          <w:tcPr>
            <w:tcW w:w="1516" w:type="dxa"/>
            <w:vMerge w:val="restart"/>
            <w:shd w:val="clear" w:color="auto" w:fill="00B050"/>
          </w:tcPr>
          <w:p w:rsidR="006427AD" w:rsidRDefault="006427AD" w:rsidP="00383DCA">
            <w:pPr>
              <w:jc w:val="center"/>
              <w:rPr>
                <w:b/>
              </w:rPr>
            </w:pPr>
            <w:r>
              <w:rPr>
                <w:b/>
              </w:rPr>
              <w:t>Continue Monitoring</w:t>
            </w:r>
          </w:p>
        </w:tc>
        <w:tc>
          <w:tcPr>
            <w:tcW w:w="7500" w:type="dxa"/>
            <w:shd w:val="clear" w:color="auto" w:fill="00B050"/>
          </w:tcPr>
          <w:p w:rsidR="006427AD" w:rsidRPr="009056AA" w:rsidRDefault="00D47220" w:rsidP="00B41A35">
            <w:pPr>
              <w:jc w:val="both"/>
              <w:rPr>
                <w:b/>
              </w:rPr>
            </w:pPr>
            <w:r w:rsidRPr="009056AA">
              <w:rPr>
                <w:b/>
              </w:rPr>
              <w:t>Third Monitoring Period</w:t>
            </w:r>
          </w:p>
          <w:p w:rsidR="00D47220" w:rsidRPr="00DD55F4" w:rsidRDefault="00D47220" w:rsidP="00DD55F4">
            <w:pPr>
              <w:jc w:val="both"/>
            </w:pPr>
            <w:r w:rsidRPr="009056AA">
              <w:t xml:space="preserve">The National Park issued </w:t>
            </w:r>
            <w:r w:rsidR="001A30F4" w:rsidRPr="009056AA">
              <w:t>3</w:t>
            </w:r>
            <w:r w:rsidRPr="009056AA">
              <w:t xml:space="preserve"> permissions within the peri</w:t>
            </w:r>
            <w:r w:rsidR="00DD55F4">
              <w:t>od for renewable energy schemes (1 consent was for Ground/Water/Air heat pump, 1 hydropower and 1 solar).</w:t>
            </w:r>
            <w:r w:rsidRPr="009056AA">
              <w:t xml:space="preserve">  None of these permissions were considered to have a significant adverse impact on the special qualities of the National Park.</w:t>
            </w:r>
          </w:p>
        </w:tc>
      </w:tr>
      <w:tr w:rsidR="006427AD" w:rsidRPr="009819AC" w:rsidTr="009056AA">
        <w:tc>
          <w:tcPr>
            <w:tcW w:w="1516" w:type="dxa"/>
            <w:vMerge/>
            <w:shd w:val="clear" w:color="auto" w:fill="00B050"/>
          </w:tcPr>
          <w:p w:rsidR="006427AD" w:rsidRPr="009819AC" w:rsidRDefault="006427AD" w:rsidP="00383DCA">
            <w:pPr>
              <w:jc w:val="center"/>
              <w:rPr>
                <w:b/>
              </w:rPr>
            </w:pPr>
          </w:p>
        </w:tc>
        <w:tc>
          <w:tcPr>
            <w:tcW w:w="7500" w:type="dxa"/>
            <w:shd w:val="clear" w:color="auto" w:fill="BFBFBF" w:themeFill="background1" w:themeFillShade="BF"/>
          </w:tcPr>
          <w:p w:rsidR="006427AD" w:rsidRPr="006427AD" w:rsidRDefault="006427AD" w:rsidP="00B41A35">
            <w:pPr>
              <w:jc w:val="both"/>
              <w:rPr>
                <w:b/>
              </w:rPr>
            </w:pPr>
            <w:r w:rsidRPr="006427AD">
              <w:rPr>
                <w:b/>
              </w:rPr>
              <w:t>Second Monitoring Period</w:t>
            </w:r>
          </w:p>
          <w:p w:rsidR="006427AD" w:rsidRPr="00E86577" w:rsidRDefault="006427AD" w:rsidP="00B41A35">
            <w:pPr>
              <w:jc w:val="both"/>
            </w:pPr>
            <w:r w:rsidRPr="00E86577">
              <w:t xml:space="preserve">The National Park issued </w:t>
            </w:r>
            <w:r>
              <w:t>11</w:t>
            </w:r>
            <w:r w:rsidRPr="00E86577">
              <w:t xml:space="preserve"> permissions within the period for renewable energy schemes, the majority of these were for small scale hydro schemes.  None of these permissions were considered to have a significant adverse impact on the special qualities of the National Park. </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shd w:val="clear" w:color="auto" w:fill="D9D9D9" w:themeFill="background1" w:themeFillShade="D9"/>
          </w:tcPr>
          <w:p w:rsidR="006427AD" w:rsidRPr="007172CB" w:rsidRDefault="006427AD" w:rsidP="00B41A35">
            <w:pPr>
              <w:jc w:val="both"/>
              <w:rPr>
                <w:b/>
              </w:rPr>
            </w:pPr>
            <w:r>
              <w:rPr>
                <w:b/>
              </w:rPr>
              <w:t>First</w:t>
            </w:r>
            <w:r w:rsidRPr="007172CB">
              <w:rPr>
                <w:b/>
              </w:rPr>
              <w:t xml:space="preserve"> Monitoring Period:</w:t>
            </w:r>
          </w:p>
          <w:p w:rsidR="006427AD" w:rsidRPr="00E86577" w:rsidRDefault="006427AD" w:rsidP="00B41A35">
            <w:pPr>
              <w:jc w:val="both"/>
            </w:pPr>
            <w:r w:rsidRPr="007172CB">
              <w:t>The National Park issued 22 permissions within the period for renewable energy schemes, the majority of these were for small scale hydro schemes.  None of these permissions were considered to have a significant adverse impact on the special qualities of the National Park.</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AC6D01" w:rsidRDefault="006427AD" w:rsidP="009819AC">
            <w:pPr>
              <w:jc w:val="both"/>
              <w:rPr>
                <w:b/>
              </w:rPr>
            </w:pPr>
            <w:r w:rsidRPr="00AC6D01">
              <w:rPr>
                <w:b/>
              </w:rPr>
              <w:t>Comments:</w:t>
            </w:r>
          </w:p>
          <w:p w:rsidR="006427AD" w:rsidRPr="00E86577" w:rsidRDefault="006427AD" w:rsidP="009819AC">
            <w:pPr>
              <w:jc w:val="both"/>
            </w:pPr>
            <w:r>
              <w:t>None.</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EC084D" w:rsidRDefault="006427AD" w:rsidP="006D1117">
            <w:pPr>
              <w:jc w:val="both"/>
              <w:rPr>
                <w:b/>
              </w:rPr>
            </w:pPr>
            <w:r w:rsidRPr="00EC084D">
              <w:rPr>
                <w:b/>
              </w:rPr>
              <w:t>Recommendation:</w:t>
            </w:r>
          </w:p>
          <w:p w:rsidR="006427AD" w:rsidRPr="00E86577" w:rsidRDefault="006427AD" w:rsidP="006D1117">
            <w:pPr>
              <w:jc w:val="both"/>
            </w:pPr>
            <w:r w:rsidRPr="007172CB">
              <w:t>The requirement of this indicator is being met.  It is, however, considered to be an important indicator and will continue to be monitored.</w:t>
            </w:r>
          </w:p>
        </w:tc>
      </w:tr>
    </w:tbl>
    <w:p w:rsidR="003601A4" w:rsidRDefault="003601A4" w:rsidP="00855D5C">
      <w:pPr>
        <w:jc w:val="both"/>
        <w:rPr>
          <w:b/>
          <w:i/>
        </w:rPr>
      </w:pPr>
    </w:p>
    <w:p w:rsidR="00855D5C" w:rsidRPr="00855D5C" w:rsidRDefault="00855D5C" w:rsidP="00855D5C">
      <w:pPr>
        <w:jc w:val="both"/>
        <w:rPr>
          <w:b/>
        </w:rPr>
      </w:pPr>
      <w:r>
        <w:rPr>
          <w:b/>
        </w:rPr>
        <w:t>Figure 30</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sidRPr="006D1117">
              <w:rPr>
                <w:b/>
              </w:rPr>
              <w:t>Permitted and installed capacity (MW) of renewable electricity and heat projects</w:t>
            </w:r>
            <w:r w:rsidR="009D75FB">
              <w:rPr>
                <w:b/>
              </w:rPr>
              <w:t xml:space="preserve"> </w:t>
            </w:r>
          </w:p>
        </w:tc>
      </w:tr>
      <w:tr w:rsidR="006427AD" w:rsidRPr="009819AC" w:rsidTr="00CB0935">
        <w:tc>
          <w:tcPr>
            <w:tcW w:w="1516" w:type="dxa"/>
            <w:vMerge w:val="restart"/>
            <w:shd w:val="clear" w:color="auto" w:fill="00B050"/>
          </w:tcPr>
          <w:p w:rsidR="006427AD" w:rsidRDefault="006427AD" w:rsidP="00383DCA">
            <w:pPr>
              <w:jc w:val="center"/>
              <w:rPr>
                <w:b/>
              </w:rPr>
            </w:pPr>
            <w:r>
              <w:rPr>
                <w:b/>
              </w:rPr>
              <w:t>Continue Monitoring</w:t>
            </w:r>
          </w:p>
        </w:tc>
        <w:tc>
          <w:tcPr>
            <w:tcW w:w="7500" w:type="dxa"/>
            <w:shd w:val="clear" w:color="auto" w:fill="00B050"/>
          </w:tcPr>
          <w:p w:rsidR="001A30F4" w:rsidRPr="00CB0935" w:rsidRDefault="001A30F4" w:rsidP="001A30F4">
            <w:pPr>
              <w:jc w:val="both"/>
              <w:rPr>
                <w:b/>
              </w:rPr>
            </w:pPr>
            <w:r w:rsidRPr="00CB0935">
              <w:rPr>
                <w:b/>
              </w:rPr>
              <w:t>Third Monitoring Period</w:t>
            </w:r>
          </w:p>
          <w:p w:rsidR="006427AD" w:rsidRPr="006427AD" w:rsidRDefault="001A30F4" w:rsidP="001A30F4">
            <w:pPr>
              <w:jc w:val="both"/>
              <w:rPr>
                <w:b/>
              </w:rPr>
            </w:pPr>
            <w:r w:rsidRPr="00CB0935">
              <w:t>Permissions amount to an increase of 0.02 megawatts capacity of energy from renewable energy schemes</w:t>
            </w:r>
          </w:p>
        </w:tc>
      </w:tr>
      <w:tr w:rsidR="006427AD" w:rsidRPr="009819AC" w:rsidTr="00CB0935">
        <w:tc>
          <w:tcPr>
            <w:tcW w:w="1516" w:type="dxa"/>
            <w:vMerge/>
            <w:shd w:val="clear" w:color="auto" w:fill="00B050"/>
          </w:tcPr>
          <w:p w:rsidR="006427AD" w:rsidRPr="009819AC" w:rsidRDefault="006427AD" w:rsidP="00383DCA">
            <w:pPr>
              <w:jc w:val="center"/>
              <w:rPr>
                <w:b/>
              </w:rPr>
            </w:pPr>
          </w:p>
        </w:tc>
        <w:tc>
          <w:tcPr>
            <w:tcW w:w="7500" w:type="dxa"/>
            <w:shd w:val="clear" w:color="auto" w:fill="BFBFBF" w:themeFill="background1" w:themeFillShade="BF"/>
          </w:tcPr>
          <w:p w:rsidR="006427AD" w:rsidRPr="006427AD" w:rsidRDefault="006427AD" w:rsidP="00B41A35">
            <w:pPr>
              <w:jc w:val="both"/>
              <w:rPr>
                <w:b/>
              </w:rPr>
            </w:pPr>
            <w:r w:rsidRPr="006427AD">
              <w:rPr>
                <w:b/>
              </w:rPr>
              <w:t>Second Monitoring Period</w:t>
            </w:r>
          </w:p>
          <w:p w:rsidR="006427AD" w:rsidRPr="00E86577" w:rsidRDefault="006427AD" w:rsidP="00B41A35">
            <w:pPr>
              <w:jc w:val="both"/>
            </w:pPr>
            <w:r w:rsidRPr="00E86577">
              <w:t>Permissions amount to an increase of 0.</w:t>
            </w:r>
            <w:r>
              <w:t>3</w:t>
            </w:r>
            <w:r w:rsidRPr="00E86577">
              <w:t xml:space="preserve"> megawatts capacity of energy from renewable energy schemes</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shd w:val="clear" w:color="auto" w:fill="D9D9D9" w:themeFill="background1" w:themeFillShade="D9"/>
          </w:tcPr>
          <w:p w:rsidR="006427AD" w:rsidRPr="007172CB" w:rsidRDefault="006427AD" w:rsidP="00B41A35">
            <w:pPr>
              <w:jc w:val="both"/>
              <w:rPr>
                <w:b/>
              </w:rPr>
            </w:pPr>
            <w:r>
              <w:rPr>
                <w:b/>
              </w:rPr>
              <w:t>First</w:t>
            </w:r>
            <w:r w:rsidRPr="007172CB">
              <w:rPr>
                <w:b/>
              </w:rPr>
              <w:t xml:space="preserve"> Monitoring Period:</w:t>
            </w:r>
          </w:p>
          <w:p w:rsidR="006427AD" w:rsidRPr="00E86577" w:rsidRDefault="006427AD" w:rsidP="00B41A35">
            <w:pPr>
              <w:jc w:val="both"/>
            </w:pPr>
            <w:r w:rsidRPr="00E86577">
              <w:lastRenderedPageBreak/>
              <w:t>Permissions amount to an increase of 0.41 megawatts capacity of energy from renewable energy schemes</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972C95" w:rsidRDefault="006427AD" w:rsidP="009819AC">
            <w:pPr>
              <w:jc w:val="both"/>
              <w:rPr>
                <w:b/>
              </w:rPr>
            </w:pPr>
            <w:r w:rsidRPr="00972C95">
              <w:rPr>
                <w:b/>
              </w:rPr>
              <w:t>Comments:</w:t>
            </w:r>
          </w:p>
          <w:p w:rsidR="006427AD" w:rsidRPr="00E86577" w:rsidRDefault="006427AD" w:rsidP="009819AC">
            <w:pPr>
              <w:jc w:val="both"/>
            </w:pPr>
            <w:r>
              <w:t>None.</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EC084D" w:rsidRDefault="006427AD" w:rsidP="006D1117">
            <w:pPr>
              <w:jc w:val="both"/>
              <w:rPr>
                <w:b/>
              </w:rPr>
            </w:pPr>
            <w:r w:rsidRPr="00EC084D">
              <w:rPr>
                <w:b/>
              </w:rPr>
              <w:t>Recommendation:</w:t>
            </w:r>
          </w:p>
          <w:p w:rsidR="006427AD" w:rsidRPr="00E86577" w:rsidRDefault="006427AD" w:rsidP="006D1117">
            <w:pPr>
              <w:jc w:val="both"/>
            </w:pPr>
            <w:r>
              <w:t>The requirement of this indicator is being met.  It is, however, considered to be an important indicator and will continue to be monitored.</w:t>
            </w:r>
          </w:p>
        </w:tc>
      </w:tr>
    </w:tbl>
    <w:p w:rsidR="003601A4" w:rsidRDefault="003601A4" w:rsidP="00855D5C">
      <w:pPr>
        <w:jc w:val="both"/>
        <w:rPr>
          <w:b/>
        </w:rPr>
      </w:pPr>
    </w:p>
    <w:p w:rsidR="00855D5C" w:rsidRPr="00855D5C" w:rsidRDefault="00855D5C" w:rsidP="00855D5C">
      <w:pPr>
        <w:jc w:val="both"/>
        <w:rPr>
          <w:b/>
        </w:rPr>
      </w:pPr>
      <w:r>
        <w:rPr>
          <w:b/>
        </w:rPr>
        <w:t>Figure 31</w:t>
      </w:r>
    </w:p>
    <w:tbl>
      <w:tblPr>
        <w:tblStyle w:val="TableGrid"/>
        <w:tblW w:w="0" w:type="auto"/>
        <w:tblLook w:val="04A0" w:firstRow="1" w:lastRow="0" w:firstColumn="1" w:lastColumn="0" w:noHBand="0" w:noVBand="1"/>
      </w:tblPr>
      <w:tblGrid>
        <w:gridCol w:w="1516"/>
        <w:gridCol w:w="7500"/>
      </w:tblGrid>
      <w:tr w:rsidR="006D1117" w:rsidRPr="009819AC" w:rsidTr="00541241">
        <w:tc>
          <w:tcPr>
            <w:tcW w:w="9016" w:type="dxa"/>
            <w:gridSpan w:val="2"/>
            <w:shd w:val="clear" w:color="auto" w:fill="4BACC6" w:themeFill="accent5"/>
          </w:tcPr>
          <w:p w:rsidR="006D1117" w:rsidRPr="006D1117" w:rsidRDefault="006D1117" w:rsidP="005D06F9">
            <w:pPr>
              <w:jc w:val="both"/>
              <w:rPr>
                <w:b/>
              </w:rPr>
            </w:pPr>
            <w:r w:rsidRPr="006D1117">
              <w:rPr>
                <w:b/>
              </w:rPr>
              <w:t>Ecological footprint of listed settlements</w:t>
            </w:r>
            <w:r w:rsidR="009D75FB">
              <w:rPr>
                <w:b/>
              </w:rPr>
              <w:t xml:space="preserve">  </w:t>
            </w:r>
          </w:p>
        </w:tc>
      </w:tr>
      <w:tr w:rsidR="00541241" w:rsidRPr="009819AC" w:rsidTr="00DD55F4">
        <w:tc>
          <w:tcPr>
            <w:tcW w:w="1516" w:type="dxa"/>
            <w:vMerge w:val="restart"/>
            <w:shd w:val="clear" w:color="auto" w:fill="00B050"/>
          </w:tcPr>
          <w:p w:rsidR="00541241" w:rsidRDefault="00541241" w:rsidP="00383DCA">
            <w:pPr>
              <w:jc w:val="center"/>
              <w:rPr>
                <w:b/>
              </w:rPr>
            </w:pPr>
            <w:r>
              <w:rPr>
                <w:b/>
              </w:rPr>
              <w:t>Continue Monitoring</w:t>
            </w:r>
          </w:p>
        </w:tc>
        <w:tc>
          <w:tcPr>
            <w:tcW w:w="7500" w:type="dxa"/>
            <w:shd w:val="clear" w:color="auto" w:fill="00B050"/>
          </w:tcPr>
          <w:p w:rsidR="00D75D47" w:rsidRPr="00DD55F4" w:rsidRDefault="00D75D47" w:rsidP="00D75D47">
            <w:pPr>
              <w:jc w:val="both"/>
              <w:rPr>
                <w:b/>
              </w:rPr>
            </w:pPr>
            <w:r w:rsidRPr="00DD55F4">
              <w:rPr>
                <w:b/>
              </w:rPr>
              <w:t>Third Monitoring Period</w:t>
            </w:r>
          </w:p>
          <w:p w:rsidR="00541241" w:rsidRPr="00541241" w:rsidRDefault="00D75D47" w:rsidP="00D75D47">
            <w:pPr>
              <w:jc w:val="both"/>
              <w:rPr>
                <w:b/>
              </w:rPr>
            </w:pPr>
            <w:r w:rsidRPr="00DD55F4">
              <w:t>This data is unavailable for this year.</w:t>
            </w:r>
            <w:r>
              <w:t xml:space="preserve">  </w:t>
            </w:r>
          </w:p>
        </w:tc>
      </w:tr>
      <w:tr w:rsidR="00541241" w:rsidRPr="009819AC" w:rsidTr="00541241">
        <w:tc>
          <w:tcPr>
            <w:tcW w:w="1516" w:type="dxa"/>
            <w:vMerge/>
            <w:shd w:val="clear" w:color="auto" w:fill="00B050"/>
          </w:tcPr>
          <w:p w:rsidR="00541241" w:rsidRPr="009819AC" w:rsidRDefault="00541241" w:rsidP="00383DCA">
            <w:pPr>
              <w:jc w:val="center"/>
              <w:rPr>
                <w:b/>
              </w:rPr>
            </w:pPr>
          </w:p>
        </w:tc>
        <w:tc>
          <w:tcPr>
            <w:tcW w:w="7500" w:type="dxa"/>
            <w:shd w:val="clear" w:color="auto" w:fill="D9D9D9" w:themeFill="background1" w:themeFillShade="D9"/>
          </w:tcPr>
          <w:p w:rsidR="00541241" w:rsidRPr="00541241" w:rsidRDefault="00541241" w:rsidP="0007410D">
            <w:pPr>
              <w:jc w:val="both"/>
              <w:rPr>
                <w:b/>
              </w:rPr>
            </w:pPr>
            <w:r w:rsidRPr="00541241">
              <w:rPr>
                <w:b/>
              </w:rPr>
              <w:t>Second Monitoring Period</w:t>
            </w:r>
          </w:p>
          <w:p w:rsidR="00541241" w:rsidRPr="005D06F9" w:rsidRDefault="00541241" w:rsidP="00541241">
            <w:pPr>
              <w:tabs>
                <w:tab w:val="left" w:pos="4464"/>
              </w:tabs>
              <w:jc w:val="both"/>
            </w:pPr>
            <w:r>
              <w:t xml:space="preserve">This data is unavailable for this year.  </w:t>
            </w:r>
            <w:r>
              <w:tab/>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shd w:val="clear" w:color="auto" w:fill="D9D9D9" w:themeFill="background1" w:themeFillShade="D9"/>
          </w:tcPr>
          <w:p w:rsidR="00541241" w:rsidRDefault="00541241" w:rsidP="005D06F9">
            <w:pPr>
              <w:jc w:val="both"/>
              <w:rPr>
                <w:b/>
              </w:rPr>
            </w:pPr>
            <w:r>
              <w:rPr>
                <w:b/>
              </w:rPr>
              <w:t>Previous Monitoring Period:</w:t>
            </w:r>
          </w:p>
          <w:p w:rsidR="00541241" w:rsidRPr="007172CB" w:rsidRDefault="00541241" w:rsidP="005D06F9">
            <w:pPr>
              <w:jc w:val="both"/>
            </w:pPr>
            <w:r w:rsidRPr="007172CB">
              <w:t xml:space="preserve">This data is unavailable for this year.  </w:t>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tcPr>
          <w:p w:rsidR="00541241" w:rsidRPr="0007410D" w:rsidRDefault="00541241" w:rsidP="005D06F9">
            <w:pPr>
              <w:jc w:val="both"/>
              <w:rPr>
                <w:b/>
              </w:rPr>
            </w:pPr>
            <w:r w:rsidRPr="0007410D">
              <w:rPr>
                <w:b/>
              </w:rPr>
              <w:t>Comments:</w:t>
            </w:r>
          </w:p>
          <w:p w:rsidR="00541241" w:rsidRDefault="00541241" w:rsidP="005D06F9">
            <w:pPr>
              <w:jc w:val="both"/>
            </w:pPr>
            <w:r>
              <w:t xml:space="preserve">None. </w:t>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tcPr>
          <w:p w:rsidR="00541241" w:rsidRPr="0007410D" w:rsidRDefault="00541241" w:rsidP="005D06F9">
            <w:pPr>
              <w:jc w:val="both"/>
              <w:rPr>
                <w:b/>
              </w:rPr>
            </w:pPr>
            <w:r w:rsidRPr="0007410D">
              <w:rPr>
                <w:b/>
              </w:rPr>
              <w:t>Recommendation:</w:t>
            </w:r>
          </w:p>
          <w:p w:rsidR="00541241" w:rsidRDefault="00DD55F4" w:rsidP="000F28FE">
            <w:pPr>
              <w:jc w:val="both"/>
            </w:pPr>
            <w:r>
              <w:t>Consider whether it is realistic for the Authority to gather the necessary data for this indicator.</w:t>
            </w:r>
          </w:p>
        </w:tc>
      </w:tr>
    </w:tbl>
    <w:p w:rsidR="00383DCA" w:rsidRDefault="00383DCA" w:rsidP="00855D5C">
      <w:pPr>
        <w:jc w:val="both"/>
        <w:rPr>
          <w:b/>
          <w:i/>
        </w:rPr>
      </w:pPr>
    </w:p>
    <w:p w:rsidR="00855D5C" w:rsidRPr="00855D5C" w:rsidRDefault="00855D5C" w:rsidP="00855D5C">
      <w:pPr>
        <w:jc w:val="both"/>
        <w:rPr>
          <w:b/>
        </w:rPr>
      </w:pPr>
      <w:r w:rsidRPr="00855D5C">
        <w:rPr>
          <w:b/>
        </w:rPr>
        <w:t>Figure 32</w:t>
      </w:r>
    </w:p>
    <w:tbl>
      <w:tblPr>
        <w:tblStyle w:val="TableGrid"/>
        <w:tblW w:w="0" w:type="auto"/>
        <w:tblLook w:val="04A0" w:firstRow="1" w:lastRow="0" w:firstColumn="1" w:lastColumn="0" w:noHBand="0" w:noVBand="1"/>
      </w:tblPr>
      <w:tblGrid>
        <w:gridCol w:w="1515"/>
        <w:gridCol w:w="7501"/>
      </w:tblGrid>
      <w:tr w:rsidR="007172CB" w:rsidRPr="009819AC" w:rsidTr="008141E1">
        <w:tc>
          <w:tcPr>
            <w:tcW w:w="9242" w:type="dxa"/>
            <w:gridSpan w:val="2"/>
            <w:shd w:val="clear" w:color="auto" w:fill="4BACC6" w:themeFill="accent5"/>
          </w:tcPr>
          <w:p w:rsidR="007172CB" w:rsidRPr="0007410D" w:rsidRDefault="007172CB" w:rsidP="008141E1">
            <w:pPr>
              <w:jc w:val="both"/>
              <w:rPr>
                <w:b/>
              </w:rPr>
            </w:pPr>
            <w:r w:rsidRPr="0007410D">
              <w:rPr>
                <w:b/>
              </w:rPr>
              <w:t>Supplementary Planning Guidance</w:t>
            </w:r>
            <w:r>
              <w:rPr>
                <w:b/>
              </w:rPr>
              <w:t xml:space="preserve"> </w:t>
            </w:r>
          </w:p>
        </w:tc>
      </w:tr>
      <w:tr w:rsidR="007172CB" w:rsidRPr="009819AC" w:rsidTr="007172CB">
        <w:tc>
          <w:tcPr>
            <w:tcW w:w="1526" w:type="dxa"/>
            <w:vMerge w:val="restart"/>
            <w:shd w:val="clear" w:color="auto" w:fill="00B0F0"/>
          </w:tcPr>
          <w:p w:rsidR="007172CB" w:rsidRPr="009819AC" w:rsidRDefault="007172CB" w:rsidP="008141E1">
            <w:pPr>
              <w:jc w:val="center"/>
              <w:rPr>
                <w:b/>
              </w:rPr>
            </w:pPr>
            <w:r>
              <w:rPr>
                <w:b/>
              </w:rPr>
              <w:t>Completed during previous monitoring period</w:t>
            </w:r>
          </w:p>
        </w:tc>
        <w:tc>
          <w:tcPr>
            <w:tcW w:w="7716" w:type="dxa"/>
            <w:shd w:val="clear" w:color="auto" w:fill="00B0F0"/>
          </w:tcPr>
          <w:p w:rsidR="007172CB" w:rsidRPr="001D724A" w:rsidRDefault="007172CB" w:rsidP="008141E1">
            <w:pPr>
              <w:jc w:val="both"/>
            </w:pPr>
            <w:r w:rsidRPr="001D724A">
              <w:t>In line with the requirements of the L</w:t>
            </w:r>
            <w:r>
              <w:t xml:space="preserve">ocal </w:t>
            </w:r>
            <w:r w:rsidRPr="001D724A">
              <w:t>D</w:t>
            </w:r>
            <w:r>
              <w:t xml:space="preserve">evelopment </w:t>
            </w:r>
            <w:r w:rsidRPr="001D724A">
              <w:t>P</w:t>
            </w:r>
            <w:r>
              <w:t>lan</w:t>
            </w:r>
            <w:r w:rsidRPr="001D724A">
              <w:t xml:space="preserve"> Monitoring Framework, Members have endorsed the following Supplementary Planning Guidance for use in the determination of relevant planning applications:</w:t>
            </w:r>
          </w:p>
          <w:p w:rsidR="007172CB" w:rsidRPr="001D724A" w:rsidRDefault="007172CB" w:rsidP="008141E1">
            <w:pPr>
              <w:pStyle w:val="ListParagraph"/>
              <w:numPr>
                <w:ilvl w:val="0"/>
                <w:numId w:val="1"/>
              </w:numPr>
              <w:jc w:val="both"/>
            </w:pPr>
            <w:r w:rsidRPr="001D724A">
              <w:t>Sustainable Development in the National Parks of Wales</w:t>
            </w:r>
          </w:p>
          <w:p w:rsidR="007172CB" w:rsidRPr="001D724A" w:rsidRDefault="007172CB" w:rsidP="008141E1">
            <w:pPr>
              <w:pStyle w:val="ListParagraph"/>
              <w:numPr>
                <w:ilvl w:val="0"/>
                <w:numId w:val="1"/>
              </w:numPr>
              <w:jc w:val="both"/>
              <w:rPr>
                <w:b/>
              </w:rPr>
            </w:pPr>
            <w:r w:rsidRPr="001D724A">
              <w:t>Small Scale Renewable Energy Developments</w:t>
            </w:r>
          </w:p>
        </w:tc>
      </w:tr>
      <w:tr w:rsidR="007172CB" w:rsidRPr="009819AC" w:rsidTr="008141E1">
        <w:tc>
          <w:tcPr>
            <w:tcW w:w="1526" w:type="dxa"/>
            <w:vMerge/>
            <w:shd w:val="clear" w:color="auto" w:fill="00B0F0"/>
          </w:tcPr>
          <w:p w:rsidR="007172CB" w:rsidRDefault="007172CB" w:rsidP="008141E1">
            <w:pPr>
              <w:jc w:val="center"/>
              <w:rPr>
                <w:b/>
              </w:rPr>
            </w:pPr>
          </w:p>
        </w:tc>
        <w:tc>
          <w:tcPr>
            <w:tcW w:w="7716" w:type="dxa"/>
          </w:tcPr>
          <w:p w:rsidR="007172CB" w:rsidRPr="0007410D" w:rsidRDefault="007172CB" w:rsidP="008141E1">
            <w:pPr>
              <w:jc w:val="both"/>
              <w:rPr>
                <w:b/>
              </w:rPr>
            </w:pPr>
            <w:r w:rsidRPr="0007410D">
              <w:rPr>
                <w:b/>
              </w:rPr>
              <w:t>Comments:</w:t>
            </w:r>
          </w:p>
          <w:p w:rsidR="007172CB" w:rsidRPr="001D724A" w:rsidRDefault="007172CB" w:rsidP="008141E1">
            <w:pPr>
              <w:jc w:val="both"/>
            </w:pPr>
            <w:r>
              <w:t>None.</w:t>
            </w:r>
          </w:p>
        </w:tc>
      </w:tr>
      <w:tr w:rsidR="007172CB" w:rsidRPr="009819AC" w:rsidTr="008141E1">
        <w:tc>
          <w:tcPr>
            <w:tcW w:w="1526" w:type="dxa"/>
            <w:vMerge/>
            <w:shd w:val="clear" w:color="auto" w:fill="00B0F0"/>
          </w:tcPr>
          <w:p w:rsidR="007172CB" w:rsidRDefault="007172CB" w:rsidP="008141E1">
            <w:pPr>
              <w:jc w:val="center"/>
              <w:rPr>
                <w:b/>
              </w:rPr>
            </w:pPr>
          </w:p>
        </w:tc>
        <w:tc>
          <w:tcPr>
            <w:tcW w:w="7716" w:type="dxa"/>
          </w:tcPr>
          <w:p w:rsidR="007172CB" w:rsidRPr="00496DF3" w:rsidRDefault="007172CB" w:rsidP="008141E1">
            <w:pPr>
              <w:jc w:val="both"/>
              <w:rPr>
                <w:b/>
              </w:rPr>
            </w:pPr>
            <w:r w:rsidRPr="00496DF3">
              <w:rPr>
                <w:b/>
              </w:rPr>
              <w:t>Recommendation:</w:t>
            </w:r>
          </w:p>
          <w:p w:rsidR="007172CB" w:rsidRPr="001D724A" w:rsidRDefault="007172CB" w:rsidP="008141E1">
            <w:pPr>
              <w:jc w:val="both"/>
            </w:pPr>
            <w:r w:rsidRPr="00496DF3">
              <w:t>The relevant S</w:t>
            </w:r>
            <w:r>
              <w:t xml:space="preserve">upplementary </w:t>
            </w:r>
            <w:r w:rsidRPr="00496DF3">
              <w:t>P</w:t>
            </w:r>
            <w:r>
              <w:t xml:space="preserve">lanning </w:t>
            </w:r>
            <w:r w:rsidRPr="00496DF3">
              <w:t>G</w:t>
            </w:r>
            <w:r>
              <w:t>uidance</w:t>
            </w:r>
            <w:r w:rsidRPr="00496DF3">
              <w:t xml:space="preserve"> has been completed.  Accordingly, no further monitoring is required.</w:t>
            </w:r>
          </w:p>
        </w:tc>
      </w:tr>
    </w:tbl>
    <w:p w:rsidR="00F65E5F" w:rsidRPr="00657C73" w:rsidRDefault="00F65E5F" w:rsidP="00657C73">
      <w:pPr>
        <w:jc w:val="both"/>
        <w:rPr>
          <w:b/>
        </w:rPr>
      </w:pPr>
    </w:p>
    <w:p w:rsidR="009819AC" w:rsidRDefault="004668D1" w:rsidP="002D73AC">
      <w:pPr>
        <w:jc w:val="both"/>
        <w:rPr>
          <w:b/>
          <w:sz w:val="24"/>
          <w:szCs w:val="24"/>
        </w:rPr>
      </w:pPr>
      <w:r w:rsidRPr="002D73AC">
        <w:rPr>
          <w:b/>
          <w:sz w:val="24"/>
          <w:szCs w:val="24"/>
        </w:rPr>
        <w:t>Retail</w:t>
      </w:r>
    </w:p>
    <w:p w:rsidR="00855D5C" w:rsidRPr="00855D5C" w:rsidRDefault="00855D5C" w:rsidP="002D73AC">
      <w:pPr>
        <w:jc w:val="both"/>
        <w:rPr>
          <w:b/>
        </w:rPr>
      </w:pPr>
      <w:r>
        <w:rPr>
          <w:b/>
        </w:rPr>
        <w:lastRenderedPageBreak/>
        <w:t>Figure 33</w:t>
      </w:r>
    </w:p>
    <w:tbl>
      <w:tblPr>
        <w:tblStyle w:val="TableGrid"/>
        <w:tblW w:w="0" w:type="auto"/>
        <w:tblLook w:val="04A0" w:firstRow="1" w:lastRow="0" w:firstColumn="1" w:lastColumn="0" w:noHBand="0" w:noVBand="1"/>
      </w:tblPr>
      <w:tblGrid>
        <w:gridCol w:w="1506"/>
        <w:gridCol w:w="7510"/>
      </w:tblGrid>
      <w:tr w:rsidR="0033231E" w:rsidRPr="009819AC" w:rsidTr="00541241">
        <w:tc>
          <w:tcPr>
            <w:tcW w:w="9016" w:type="dxa"/>
            <w:gridSpan w:val="2"/>
            <w:shd w:val="clear" w:color="auto" w:fill="4BACC6" w:themeFill="accent5"/>
          </w:tcPr>
          <w:p w:rsidR="0033231E" w:rsidRPr="0033231E" w:rsidRDefault="0033231E" w:rsidP="009819AC">
            <w:pPr>
              <w:jc w:val="both"/>
            </w:pPr>
            <w:r w:rsidRPr="0033231E">
              <w:rPr>
                <w:b/>
              </w:rPr>
              <w:t>Annual vacancy rates of the Town Centres</w:t>
            </w:r>
            <w:r w:rsidR="009D75FB">
              <w:rPr>
                <w:b/>
              </w:rPr>
              <w:t xml:space="preserve"> </w:t>
            </w:r>
          </w:p>
        </w:tc>
      </w:tr>
      <w:tr w:rsidR="00541241" w:rsidRPr="009819AC" w:rsidTr="00CB0935">
        <w:tc>
          <w:tcPr>
            <w:tcW w:w="1506" w:type="dxa"/>
            <w:vMerge w:val="restart"/>
            <w:shd w:val="clear" w:color="auto" w:fill="00B050"/>
          </w:tcPr>
          <w:p w:rsidR="00541241" w:rsidRDefault="00541241" w:rsidP="00383DCA">
            <w:pPr>
              <w:jc w:val="center"/>
              <w:rPr>
                <w:b/>
              </w:rPr>
            </w:pPr>
            <w:r>
              <w:rPr>
                <w:b/>
              </w:rPr>
              <w:t>Continue Monitoring</w:t>
            </w:r>
          </w:p>
        </w:tc>
        <w:tc>
          <w:tcPr>
            <w:tcW w:w="7510" w:type="dxa"/>
            <w:shd w:val="clear" w:color="auto" w:fill="00B050"/>
          </w:tcPr>
          <w:p w:rsidR="0058740E" w:rsidRPr="00CB0935" w:rsidRDefault="0058740E" w:rsidP="0058740E">
            <w:pPr>
              <w:jc w:val="both"/>
              <w:rPr>
                <w:b/>
              </w:rPr>
            </w:pPr>
            <w:r w:rsidRPr="00CB0935">
              <w:rPr>
                <w:b/>
              </w:rPr>
              <w:t>Third Monitoring Period</w:t>
            </w:r>
          </w:p>
          <w:p w:rsidR="00FA5E96" w:rsidRPr="00CB0935" w:rsidRDefault="0058740E" w:rsidP="0058740E">
            <w:pPr>
              <w:jc w:val="both"/>
            </w:pPr>
            <w:r w:rsidRPr="00CB0935">
              <w:t xml:space="preserve">Brecon vacancy rate at 7% </w:t>
            </w:r>
          </w:p>
          <w:p w:rsidR="0058740E" w:rsidRPr="00CB0935" w:rsidRDefault="0058740E" w:rsidP="0058740E">
            <w:pPr>
              <w:jc w:val="both"/>
            </w:pPr>
            <w:r w:rsidRPr="00CB0935">
              <w:t>Crickhowell vacancy rate at 3%</w:t>
            </w:r>
          </w:p>
          <w:p w:rsidR="0058740E" w:rsidRPr="00CB0935" w:rsidRDefault="0058740E" w:rsidP="0058740E">
            <w:pPr>
              <w:tabs>
                <w:tab w:val="left" w:pos="4128"/>
              </w:tabs>
              <w:jc w:val="both"/>
            </w:pPr>
            <w:r w:rsidRPr="00CB0935">
              <w:t>Hay on Wye vacancy rate at 3%</w:t>
            </w:r>
            <w:r w:rsidRPr="00CB0935">
              <w:tab/>
            </w:r>
          </w:p>
          <w:p w:rsidR="00541241" w:rsidRPr="00541241" w:rsidRDefault="0058740E" w:rsidP="0058740E">
            <w:pPr>
              <w:jc w:val="both"/>
              <w:rPr>
                <w:b/>
              </w:rPr>
            </w:pPr>
            <w:r w:rsidRPr="00CB0935">
              <w:t>Talgarth Vacancy rate at 9%</w:t>
            </w:r>
          </w:p>
        </w:tc>
      </w:tr>
      <w:tr w:rsidR="00541241" w:rsidRPr="009819AC" w:rsidTr="00CB0935">
        <w:tc>
          <w:tcPr>
            <w:tcW w:w="1506" w:type="dxa"/>
            <w:vMerge/>
            <w:shd w:val="clear" w:color="auto" w:fill="00B050"/>
          </w:tcPr>
          <w:p w:rsidR="00541241" w:rsidRPr="009819AC" w:rsidRDefault="00541241" w:rsidP="00383DCA">
            <w:pPr>
              <w:jc w:val="center"/>
              <w:rPr>
                <w:b/>
              </w:rPr>
            </w:pPr>
          </w:p>
        </w:tc>
        <w:tc>
          <w:tcPr>
            <w:tcW w:w="7510" w:type="dxa"/>
            <w:shd w:val="clear" w:color="auto" w:fill="BFBFBF" w:themeFill="background1" w:themeFillShade="BF"/>
          </w:tcPr>
          <w:p w:rsidR="00541241" w:rsidRPr="00541241" w:rsidRDefault="00541241" w:rsidP="009819AC">
            <w:pPr>
              <w:jc w:val="both"/>
              <w:rPr>
                <w:b/>
              </w:rPr>
            </w:pPr>
            <w:r w:rsidRPr="00541241">
              <w:rPr>
                <w:b/>
              </w:rPr>
              <w:t>Second Monitoring Period</w:t>
            </w:r>
          </w:p>
          <w:p w:rsidR="00541241" w:rsidRPr="005D06F9" w:rsidRDefault="00541241" w:rsidP="009819AC">
            <w:pPr>
              <w:jc w:val="both"/>
            </w:pPr>
            <w:r w:rsidRPr="005D06F9">
              <w:t xml:space="preserve">Brecon vacancy rate at </w:t>
            </w:r>
            <w:r>
              <w:t>8</w:t>
            </w:r>
            <w:r w:rsidRPr="005D06F9">
              <w:t xml:space="preserve">% </w:t>
            </w:r>
          </w:p>
          <w:p w:rsidR="00541241" w:rsidRPr="005D06F9" w:rsidRDefault="00541241" w:rsidP="009819AC">
            <w:pPr>
              <w:jc w:val="both"/>
            </w:pPr>
            <w:r w:rsidRPr="005D06F9">
              <w:t xml:space="preserve">Crickhowell vacancy rate at </w:t>
            </w:r>
            <w:r>
              <w:t>4</w:t>
            </w:r>
            <w:r w:rsidRPr="005D06F9">
              <w:t>%</w:t>
            </w:r>
          </w:p>
          <w:p w:rsidR="00541241" w:rsidRPr="005D06F9" w:rsidRDefault="00541241" w:rsidP="00541241">
            <w:pPr>
              <w:tabs>
                <w:tab w:val="left" w:pos="4128"/>
              </w:tabs>
              <w:jc w:val="both"/>
            </w:pPr>
            <w:r w:rsidRPr="005D06F9">
              <w:t>Hay on Wye vacancy rate at 2%</w:t>
            </w:r>
            <w:r>
              <w:tab/>
            </w:r>
          </w:p>
          <w:p w:rsidR="00541241" w:rsidRPr="009819AC" w:rsidRDefault="00541241" w:rsidP="00541241">
            <w:pPr>
              <w:tabs>
                <w:tab w:val="right" w:pos="7284"/>
              </w:tabs>
              <w:jc w:val="both"/>
              <w:rPr>
                <w:b/>
              </w:rPr>
            </w:pPr>
            <w:r w:rsidRPr="005D06F9">
              <w:t xml:space="preserve">Talgarth Vacancy rate at </w:t>
            </w:r>
            <w:r>
              <w:t>11</w:t>
            </w:r>
            <w:r w:rsidRPr="005D06F9">
              <w:t>%</w:t>
            </w:r>
            <w:r>
              <w:tab/>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shd w:val="clear" w:color="auto" w:fill="D9D9D9" w:themeFill="background1" w:themeFillShade="D9"/>
          </w:tcPr>
          <w:p w:rsidR="00541241" w:rsidRPr="00C269E3" w:rsidRDefault="00541241" w:rsidP="009819AC">
            <w:pPr>
              <w:jc w:val="both"/>
              <w:rPr>
                <w:b/>
              </w:rPr>
            </w:pPr>
            <w:r>
              <w:rPr>
                <w:b/>
              </w:rPr>
              <w:t>First</w:t>
            </w:r>
            <w:r w:rsidRPr="00C269E3">
              <w:rPr>
                <w:b/>
              </w:rPr>
              <w:t xml:space="preserve"> Monitoring Period:</w:t>
            </w:r>
          </w:p>
          <w:p w:rsidR="00541241" w:rsidRPr="005D06F9" w:rsidRDefault="00541241" w:rsidP="00C269E3">
            <w:pPr>
              <w:jc w:val="both"/>
            </w:pPr>
            <w:r w:rsidRPr="005D06F9">
              <w:t xml:space="preserve">Brecon vacancy rate at 9% </w:t>
            </w:r>
          </w:p>
          <w:p w:rsidR="00541241" w:rsidRPr="005D06F9" w:rsidRDefault="00541241" w:rsidP="00C269E3">
            <w:pPr>
              <w:jc w:val="both"/>
            </w:pPr>
            <w:r w:rsidRPr="005D06F9">
              <w:t>Crickhowell vacancy rate at 6%</w:t>
            </w:r>
          </w:p>
          <w:p w:rsidR="00541241" w:rsidRPr="005D06F9" w:rsidRDefault="00541241" w:rsidP="00C269E3">
            <w:pPr>
              <w:jc w:val="both"/>
            </w:pPr>
            <w:r w:rsidRPr="005D06F9">
              <w:t>Hay on Wye vacancy rate at 2%</w:t>
            </w:r>
          </w:p>
          <w:p w:rsidR="00541241" w:rsidRPr="005D06F9" w:rsidRDefault="00541241" w:rsidP="00C269E3">
            <w:pPr>
              <w:jc w:val="both"/>
            </w:pPr>
            <w:r w:rsidRPr="005D06F9">
              <w:t>Talgarth Vacancy rate at 8%</w:t>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tcPr>
          <w:p w:rsidR="00541241" w:rsidRDefault="00541241" w:rsidP="0033231E">
            <w:pPr>
              <w:jc w:val="both"/>
              <w:rPr>
                <w:b/>
              </w:rPr>
            </w:pPr>
            <w:r>
              <w:rPr>
                <w:b/>
              </w:rPr>
              <w:t>Comment:</w:t>
            </w:r>
          </w:p>
          <w:p w:rsidR="00541241" w:rsidRDefault="00541241" w:rsidP="00C269E3">
            <w:pPr>
              <w:jc w:val="both"/>
            </w:pPr>
            <w:r>
              <w:t>The interim monitoring target for this indicator is to be monitored up to 2017.  However, the Town Centres have been assessed to provide an update for this Annual Monitoring Report.</w:t>
            </w:r>
          </w:p>
          <w:p w:rsidR="00541241" w:rsidRDefault="00541241" w:rsidP="00C269E3">
            <w:pPr>
              <w:jc w:val="both"/>
            </w:pPr>
          </w:p>
          <w:p w:rsidR="00541241" w:rsidRDefault="00541241" w:rsidP="00C269E3">
            <w:pPr>
              <w:jc w:val="both"/>
            </w:pPr>
            <w:r>
              <w:t>Vacancy rates in the Primary Key Settlement of Brecon are on course to reac</w:t>
            </w:r>
            <w:r w:rsidR="00CB0935">
              <w:t>h the target of below 10%.  A 7</w:t>
            </w:r>
            <w:r>
              <w:t>% rate was recorded when the assessmen</w:t>
            </w:r>
            <w:r w:rsidR="00AB1478">
              <w:t>ts took place earlier this year</w:t>
            </w:r>
            <w:r w:rsidR="00CB0935">
              <w:t xml:space="preserve"> – reduced from 9% and then 8% during the first two monitoring periods</w:t>
            </w:r>
            <w:r w:rsidR="00AB1478">
              <w:t xml:space="preserve">. </w:t>
            </w:r>
          </w:p>
          <w:p w:rsidR="00AB1478" w:rsidRDefault="00AB1478" w:rsidP="00C269E3">
            <w:pPr>
              <w:jc w:val="both"/>
            </w:pPr>
          </w:p>
          <w:p w:rsidR="00541241" w:rsidRDefault="00A4383E" w:rsidP="00C269E3">
            <w:pPr>
              <w:jc w:val="both"/>
            </w:pPr>
            <w:r>
              <w:t>At 3</w:t>
            </w:r>
            <w:r w:rsidR="00541241">
              <w:t>%, Hay-on-Wye is also on course to meet the vacancy target of below 5%.</w:t>
            </w:r>
          </w:p>
          <w:p w:rsidR="00541241" w:rsidRDefault="00541241" w:rsidP="00C269E3">
            <w:pPr>
              <w:jc w:val="both"/>
            </w:pPr>
          </w:p>
          <w:p w:rsidR="00541241" w:rsidRDefault="00541241" w:rsidP="00C269E3">
            <w:pPr>
              <w:jc w:val="both"/>
            </w:pPr>
            <w:r>
              <w:t>Talgarth has a significantly higher target of 25%, but is easily on course to achieve this havin</w:t>
            </w:r>
            <w:r w:rsidR="00A4383E">
              <w:t>g returned a vacancy figure of 9</w:t>
            </w:r>
            <w:r>
              <w:t>%.</w:t>
            </w:r>
          </w:p>
          <w:p w:rsidR="00541241" w:rsidRDefault="00541241" w:rsidP="00C269E3">
            <w:pPr>
              <w:jc w:val="both"/>
            </w:pPr>
          </w:p>
          <w:p w:rsidR="00541241" w:rsidRPr="005D06F9" w:rsidRDefault="00A4383E" w:rsidP="00A4383E">
            <w:pPr>
              <w:jc w:val="both"/>
            </w:pPr>
            <w:r>
              <w:t>At 3</w:t>
            </w:r>
            <w:r w:rsidR="00541241">
              <w:t xml:space="preserve">%, Crickhowell is on course to meet its vacancy target of below 5%. </w:t>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tcPr>
          <w:p w:rsidR="00541241" w:rsidRDefault="00541241" w:rsidP="0033231E">
            <w:pPr>
              <w:jc w:val="both"/>
            </w:pPr>
            <w:r w:rsidRPr="0014228B">
              <w:rPr>
                <w:b/>
              </w:rPr>
              <w:t>Recommendation</w:t>
            </w:r>
            <w:r>
              <w:t>:</w:t>
            </w:r>
          </w:p>
          <w:p w:rsidR="00A4383E" w:rsidRPr="005D06F9" w:rsidRDefault="00541241" w:rsidP="0033231E">
            <w:pPr>
              <w:jc w:val="both"/>
            </w:pPr>
            <w:r w:rsidRPr="00276A5B">
              <w:t>This indicator wil</w:t>
            </w:r>
            <w:r>
              <w:t>l be monitored for a further year</w:t>
            </w:r>
            <w:r w:rsidRPr="00276A5B">
              <w:t>.</w:t>
            </w:r>
          </w:p>
        </w:tc>
      </w:tr>
    </w:tbl>
    <w:p w:rsidR="00855D5C" w:rsidRDefault="00855D5C" w:rsidP="002D73AC">
      <w:pPr>
        <w:jc w:val="both"/>
      </w:pPr>
    </w:p>
    <w:p w:rsidR="00F65E5F" w:rsidRDefault="004668D1" w:rsidP="002D73AC">
      <w:pPr>
        <w:jc w:val="both"/>
        <w:rPr>
          <w:b/>
          <w:sz w:val="24"/>
          <w:szCs w:val="24"/>
        </w:rPr>
      </w:pPr>
      <w:r w:rsidRPr="002D73AC">
        <w:rPr>
          <w:b/>
          <w:sz w:val="24"/>
          <w:szCs w:val="24"/>
        </w:rPr>
        <w:t>Sustainable Tourism</w:t>
      </w:r>
    </w:p>
    <w:p w:rsidR="00855D5C" w:rsidRPr="00855D5C" w:rsidRDefault="00855D5C" w:rsidP="002D73AC">
      <w:pPr>
        <w:jc w:val="both"/>
      </w:pPr>
      <w:r>
        <w:rPr>
          <w:b/>
        </w:rPr>
        <w:lastRenderedPageBreak/>
        <w:t>Figure 34</w:t>
      </w:r>
    </w:p>
    <w:tbl>
      <w:tblPr>
        <w:tblStyle w:val="TableGrid"/>
        <w:tblW w:w="0" w:type="auto"/>
        <w:tblLook w:val="04A0" w:firstRow="1" w:lastRow="0" w:firstColumn="1" w:lastColumn="0" w:noHBand="0" w:noVBand="1"/>
      </w:tblPr>
      <w:tblGrid>
        <w:gridCol w:w="1506"/>
        <w:gridCol w:w="7510"/>
      </w:tblGrid>
      <w:tr w:rsidR="0033231E" w:rsidRPr="009819AC" w:rsidTr="00541241">
        <w:tc>
          <w:tcPr>
            <w:tcW w:w="9016" w:type="dxa"/>
            <w:gridSpan w:val="2"/>
            <w:shd w:val="clear" w:color="auto" w:fill="4BACC6" w:themeFill="accent5"/>
          </w:tcPr>
          <w:p w:rsidR="0033231E" w:rsidRPr="0033231E" w:rsidRDefault="0033231E" w:rsidP="009819AC">
            <w:pPr>
              <w:jc w:val="both"/>
              <w:rPr>
                <w:b/>
              </w:rPr>
            </w:pPr>
            <w:r w:rsidRPr="0033231E">
              <w:rPr>
                <w:b/>
              </w:rPr>
              <w:t xml:space="preserve">Number of new or improved tourism facilities </w:t>
            </w:r>
          </w:p>
        </w:tc>
      </w:tr>
      <w:tr w:rsidR="00541241" w:rsidRPr="009819AC" w:rsidTr="008446ED">
        <w:tc>
          <w:tcPr>
            <w:tcW w:w="1506" w:type="dxa"/>
            <w:vMerge w:val="restart"/>
            <w:shd w:val="clear" w:color="auto" w:fill="00B050"/>
          </w:tcPr>
          <w:p w:rsidR="00541241" w:rsidRDefault="00541241" w:rsidP="0023380D">
            <w:pPr>
              <w:jc w:val="center"/>
              <w:rPr>
                <w:b/>
              </w:rPr>
            </w:pPr>
            <w:r>
              <w:rPr>
                <w:b/>
              </w:rPr>
              <w:t>Continue Monitoring</w:t>
            </w:r>
          </w:p>
        </w:tc>
        <w:tc>
          <w:tcPr>
            <w:tcW w:w="7510" w:type="dxa"/>
            <w:shd w:val="clear" w:color="auto" w:fill="00B050"/>
          </w:tcPr>
          <w:p w:rsidR="00FD516C" w:rsidRPr="008446ED" w:rsidRDefault="00FD516C" w:rsidP="00FD516C">
            <w:pPr>
              <w:jc w:val="both"/>
              <w:rPr>
                <w:b/>
              </w:rPr>
            </w:pPr>
            <w:r w:rsidRPr="008446ED">
              <w:rPr>
                <w:b/>
              </w:rPr>
              <w:t>Third Monitoring Period</w:t>
            </w:r>
          </w:p>
          <w:p w:rsidR="00541241" w:rsidRDefault="00FD516C" w:rsidP="00FD516C">
            <w:pPr>
              <w:jc w:val="both"/>
            </w:pPr>
            <w:r w:rsidRPr="008446ED">
              <w:t xml:space="preserve">The NPA granted </w:t>
            </w:r>
            <w:r w:rsidR="006E79A7" w:rsidRPr="008446ED">
              <w:t>13</w:t>
            </w:r>
            <w:r w:rsidRPr="008446ED">
              <w:t xml:space="preserve"> planning permissions within the period for new or improved tourism facilities.</w:t>
            </w:r>
          </w:p>
        </w:tc>
      </w:tr>
      <w:tr w:rsidR="00541241" w:rsidRPr="009819AC" w:rsidTr="008446ED">
        <w:tc>
          <w:tcPr>
            <w:tcW w:w="1506" w:type="dxa"/>
            <w:vMerge/>
            <w:shd w:val="clear" w:color="auto" w:fill="00B050"/>
          </w:tcPr>
          <w:p w:rsidR="00541241" w:rsidRPr="009819AC" w:rsidRDefault="00541241" w:rsidP="0023380D">
            <w:pPr>
              <w:jc w:val="center"/>
              <w:rPr>
                <w:b/>
              </w:rPr>
            </w:pPr>
          </w:p>
        </w:tc>
        <w:tc>
          <w:tcPr>
            <w:tcW w:w="7510" w:type="dxa"/>
            <w:shd w:val="clear" w:color="auto" w:fill="BFBFBF" w:themeFill="background1" w:themeFillShade="BF"/>
          </w:tcPr>
          <w:p w:rsidR="00541241" w:rsidRPr="00541241" w:rsidRDefault="00541241" w:rsidP="009819AC">
            <w:pPr>
              <w:jc w:val="both"/>
              <w:rPr>
                <w:b/>
              </w:rPr>
            </w:pPr>
            <w:r w:rsidRPr="00541241">
              <w:rPr>
                <w:b/>
              </w:rPr>
              <w:t>Second Monitoring Period</w:t>
            </w:r>
          </w:p>
          <w:p w:rsidR="00541241" w:rsidRPr="0033231E" w:rsidRDefault="00541241" w:rsidP="009819AC">
            <w:pPr>
              <w:jc w:val="both"/>
            </w:pPr>
            <w:r>
              <w:t>The NPA granted 7 planning permissions within the period for new or improved tourism facilities.</w:t>
            </w: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shd w:val="clear" w:color="auto" w:fill="D9D9D9" w:themeFill="background1" w:themeFillShade="D9"/>
          </w:tcPr>
          <w:p w:rsidR="00541241" w:rsidRPr="007267EA" w:rsidRDefault="00541241" w:rsidP="009819AC">
            <w:pPr>
              <w:jc w:val="both"/>
              <w:rPr>
                <w:b/>
              </w:rPr>
            </w:pPr>
            <w:r>
              <w:rPr>
                <w:b/>
              </w:rPr>
              <w:t>First</w:t>
            </w:r>
            <w:r w:rsidRPr="007267EA">
              <w:rPr>
                <w:b/>
              </w:rPr>
              <w:t xml:space="preserve"> Monitoring Period:</w:t>
            </w:r>
          </w:p>
          <w:p w:rsidR="00541241" w:rsidRDefault="00541241" w:rsidP="009819AC">
            <w:pPr>
              <w:jc w:val="both"/>
            </w:pPr>
            <w:r w:rsidRPr="007267EA">
              <w:t>1 new tourism facility granted planning permission within the period (Bryncoch fishing and campsite)</w:t>
            </w: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tcPr>
          <w:p w:rsidR="00541241" w:rsidRDefault="00541241" w:rsidP="009819AC">
            <w:pPr>
              <w:jc w:val="both"/>
              <w:rPr>
                <w:b/>
              </w:rPr>
            </w:pPr>
            <w:r>
              <w:rPr>
                <w:b/>
              </w:rPr>
              <w:t>Comments:</w:t>
            </w:r>
          </w:p>
          <w:tbl>
            <w:tblPr>
              <w:tblStyle w:val="TableGrid"/>
              <w:tblW w:w="0" w:type="auto"/>
              <w:tblLook w:val="04A0" w:firstRow="1" w:lastRow="0" w:firstColumn="1" w:lastColumn="0" w:noHBand="0" w:noVBand="1"/>
            </w:tblPr>
            <w:tblGrid>
              <w:gridCol w:w="2358"/>
              <w:gridCol w:w="1502"/>
              <w:gridCol w:w="3424"/>
            </w:tblGrid>
            <w:tr w:rsidR="00541241" w:rsidTr="007267EA">
              <w:tc>
                <w:tcPr>
                  <w:tcW w:w="2661" w:type="dxa"/>
                </w:tcPr>
                <w:p w:rsidR="00541241" w:rsidRPr="007267EA" w:rsidRDefault="00541241" w:rsidP="009819AC">
                  <w:pPr>
                    <w:jc w:val="both"/>
                    <w:rPr>
                      <w:b/>
                    </w:rPr>
                  </w:pPr>
                  <w:r w:rsidRPr="007267EA">
                    <w:rPr>
                      <w:b/>
                    </w:rPr>
                    <w:t>Address</w:t>
                  </w:r>
                </w:p>
              </w:tc>
              <w:tc>
                <w:tcPr>
                  <w:tcW w:w="1378" w:type="dxa"/>
                </w:tcPr>
                <w:p w:rsidR="00541241" w:rsidRPr="007267EA" w:rsidRDefault="00541241" w:rsidP="009819AC">
                  <w:pPr>
                    <w:jc w:val="both"/>
                    <w:rPr>
                      <w:b/>
                    </w:rPr>
                  </w:pPr>
                  <w:r w:rsidRPr="007267EA">
                    <w:rPr>
                      <w:b/>
                    </w:rPr>
                    <w:t>Ref</w:t>
                  </w:r>
                </w:p>
              </w:tc>
              <w:tc>
                <w:tcPr>
                  <w:tcW w:w="3945" w:type="dxa"/>
                </w:tcPr>
                <w:p w:rsidR="00541241" w:rsidRPr="007267EA" w:rsidRDefault="00541241" w:rsidP="009819AC">
                  <w:pPr>
                    <w:jc w:val="both"/>
                    <w:rPr>
                      <w:b/>
                    </w:rPr>
                  </w:pPr>
                  <w:r w:rsidRPr="007267EA">
                    <w:rPr>
                      <w:b/>
                    </w:rPr>
                    <w:t>Description of Development</w:t>
                  </w: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lang w:eastAsia="en-GB"/>
                    </w:rPr>
                  </w:pPr>
                  <w:r w:rsidRPr="006E79A7">
                    <w:rPr>
                      <w:rFonts w:ascii="Calibri" w:eastAsia="Times New Roman" w:hAnsi="Calibri" w:cs="Times New Roman"/>
                      <w:color w:val="000000"/>
                      <w:lang w:eastAsia="en-GB"/>
                    </w:rPr>
                    <w:t>Penuel Chapel</w:t>
                  </w:r>
                  <w:r>
                    <w:rPr>
                      <w:rFonts w:ascii="Calibri" w:eastAsia="Times New Roman" w:hAnsi="Calibri" w:cs="Times New Roman"/>
                      <w:color w:val="000000"/>
                      <w:lang w:eastAsia="en-GB"/>
                    </w:rPr>
                    <w:t>,</w:t>
                  </w:r>
                  <w:r w:rsidRPr="006E79A7">
                    <w:rPr>
                      <w:rFonts w:ascii="Calibri" w:eastAsia="Times New Roman" w:hAnsi="Calibri" w:cs="Times New Roman"/>
                      <w:color w:val="000000"/>
                      <w:lang w:eastAsia="en-GB"/>
                    </w:rPr>
                    <w:cr/>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t>Bwlch</w:t>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Brecon</w:t>
                  </w:r>
                  <w:r w:rsidRPr="006E79A7">
                    <w:rPr>
                      <w:rFonts w:ascii="Calibri" w:eastAsia="Times New Roman" w:hAnsi="Calibri" w:cs="Times New Roman"/>
                      <w:color w:val="000000"/>
                      <w:lang w:eastAsia="en-GB"/>
                    </w:rPr>
                    <w:cr/>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t>Powys</w:t>
                  </w:r>
                  <w:r w:rsidRPr="006E79A7">
                    <w:rPr>
                      <w:rFonts w:ascii="Calibri" w:eastAsia="Times New Roman" w:hAnsi="Calibri" w:cs="Times New Roman"/>
                      <w:color w:val="000000"/>
                      <w:lang w:eastAsia="en-GB"/>
                    </w:rPr>
                    <w:cr/>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t>LD3 7RQ</w:t>
                  </w:r>
                </w:p>
              </w:tc>
              <w:tc>
                <w:tcPr>
                  <w:tcW w:w="1378" w:type="dxa"/>
                  <w:vAlign w:val="center"/>
                </w:tcPr>
                <w:p w:rsidR="006E79A7" w:rsidRDefault="006E79A7" w:rsidP="006E79A7">
                  <w:pPr>
                    <w:rPr>
                      <w:rFonts w:ascii="Calibri" w:hAnsi="Calibri"/>
                      <w:color w:val="000000"/>
                    </w:rPr>
                  </w:pPr>
                  <w:r>
                    <w:rPr>
                      <w:rFonts w:ascii="Calibri" w:hAnsi="Calibri"/>
                      <w:color w:val="000000"/>
                    </w:rPr>
                    <w:t>15/12623/FUL</w:t>
                  </w:r>
                </w:p>
                <w:p w:rsidR="00541241" w:rsidRPr="004F1BF5" w:rsidRDefault="00541241" w:rsidP="006E79A7">
                  <w:pPr>
                    <w:rPr>
                      <w:rFonts w:ascii="Calibri" w:eastAsia="Times New Roman" w:hAnsi="Calibri" w:cs="Times New Roman"/>
                      <w:color w:val="000000"/>
                      <w:lang w:eastAsia="en-GB"/>
                    </w:rPr>
                  </w:pPr>
                </w:p>
              </w:tc>
              <w:tc>
                <w:tcPr>
                  <w:tcW w:w="3945" w:type="dxa"/>
                </w:tcPr>
                <w:p w:rsidR="00541241" w:rsidRDefault="006E79A7" w:rsidP="006E79A7">
                  <w:r w:rsidRPr="006E79A7">
                    <w:t>Change of use of a chapel to a 3 bed residenti</w:t>
                  </w:r>
                  <w:r>
                    <w:t xml:space="preserve">al house, a 5 bed self catering </w:t>
                  </w:r>
                  <w:r w:rsidRPr="006E79A7">
                    <w:t>accommodation/guest house and commercial kitchen for outside catering business</w:t>
                  </w: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lang w:eastAsia="en-GB"/>
                    </w:rPr>
                  </w:pPr>
                  <w:r w:rsidRPr="006E79A7">
                    <w:rPr>
                      <w:rFonts w:ascii="Calibri" w:eastAsia="Times New Roman" w:hAnsi="Calibri" w:cs="Times New Roman"/>
                      <w:color w:val="000000"/>
                      <w:lang w:eastAsia="en-GB"/>
                    </w:rPr>
                    <w:t>Llwyn Franc Farm</w:t>
                  </w:r>
                  <w:r>
                    <w:rPr>
                      <w:rFonts w:ascii="Calibri" w:eastAsia="Times New Roman" w:hAnsi="Calibri" w:cs="Times New Roman"/>
                      <w:color w:val="000000"/>
                      <w:lang w:eastAsia="en-GB"/>
                    </w:rPr>
                    <w:t>,</w:t>
                  </w:r>
                  <w:r w:rsidRPr="006E79A7">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Llanvihangel Crucorney</w:t>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NP7 8EN</w:t>
                  </w:r>
                </w:p>
              </w:tc>
              <w:tc>
                <w:tcPr>
                  <w:tcW w:w="1378" w:type="dxa"/>
                  <w:vAlign w:val="center"/>
                </w:tcPr>
                <w:p w:rsidR="006E79A7" w:rsidRDefault="006E79A7" w:rsidP="006E79A7">
                  <w:pPr>
                    <w:rPr>
                      <w:rFonts w:ascii="Calibri" w:hAnsi="Calibri"/>
                      <w:color w:val="000000"/>
                    </w:rPr>
                  </w:pPr>
                  <w:r>
                    <w:rPr>
                      <w:rFonts w:ascii="Calibri" w:hAnsi="Calibri"/>
                      <w:color w:val="000000"/>
                    </w:rPr>
                    <w:t>16/13519/FUL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rPr>
                      <w:rFonts w:ascii="Calibri" w:hAnsi="Calibri"/>
                      <w:color w:val="000000"/>
                    </w:rPr>
                  </w:pPr>
                  <w:r>
                    <w:rPr>
                      <w:rFonts w:ascii="Calibri" w:hAnsi="Calibri"/>
                      <w:color w:val="000000"/>
                    </w:rPr>
                    <w:t>Conversion of an existing stable block into 2no. holiday let units consisting of one 2 bed and one 3 bed wheelchair accessible unit.</w:t>
                  </w:r>
                </w:p>
                <w:p w:rsidR="00541241" w:rsidRDefault="00541241" w:rsidP="007267EA">
                  <w:pPr>
                    <w:jc w:val="both"/>
                  </w:pP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lang w:eastAsia="en-GB"/>
                    </w:rPr>
                  </w:pPr>
                  <w:r w:rsidRPr="006E79A7">
                    <w:rPr>
                      <w:rFonts w:ascii="Calibri" w:eastAsia="Times New Roman" w:hAnsi="Calibri" w:cs="Times New Roman"/>
                      <w:color w:val="000000"/>
                      <w:lang w:eastAsia="en-GB"/>
                    </w:rPr>
                    <w:t>4 The Forestry</w:t>
                  </w:r>
                  <w:r>
                    <w:rPr>
                      <w:rFonts w:ascii="Calibri" w:eastAsia="Times New Roman" w:hAnsi="Calibri" w:cs="Times New Roman"/>
                      <w:color w:val="000000"/>
                      <w:lang w:eastAsia="en-GB"/>
                    </w:rPr>
                    <w:t>,</w:t>
                  </w:r>
                  <w:r w:rsidRPr="006E79A7">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Trecastle</w:t>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Brecon</w:t>
                  </w:r>
                  <w:r>
                    <w:rPr>
                      <w:rFonts w:ascii="Calibri" w:eastAsia="Times New Roman" w:hAnsi="Calibri" w:cs="Times New Roman"/>
                      <w:color w:val="000000"/>
                      <w:lang w:eastAsia="en-GB"/>
                    </w:rPr>
                    <w:t xml:space="preserve">, </w:t>
                  </w:r>
                  <w:r w:rsidRPr="006E79A7">
                    <w:rPr>
                      <w:rFonts w:ascii="Calibri" w:eastAsia="Times New Roman" w:hAnsi="Calibri" w:cs="Times New Roman"/>
                      <w:color w:val="000000"/>
                      <w:lang w:eastAsia="en-GB"/>
                    </w:rPr>
                    <w:cr/>
                    <w:t>LD3 8YA</w:t>
                  </w:r>
                </w:p>
              </w:tc>
              <w:tc>
                <w:tcPr>
                  <w:tcW w:w="1378" w:type="dxa"/>
                  <w:vAlign w:val="center"/>
                </w:tcPr>
                <w:p w:rsidR="006E79A7" w:rsidRDefault="006E79A7" w:rsidP="006E79A7">
                  <w:pPr>
                    <w:rPr>
                      <w:rFonts w:ascii="Calibri" w:hAnsi="Calibri"/>
                      <w:color w:val="000000"/>
                    </w:rPr>
                  </w:pPr>
                  <w:r>
                    <w:rPr>
                      <w:rFonts w:ascii="Calibri" w:hAnsi="Calibri"/>
                      <w:color w:val="000000"/>
                    </w:rPr>
                    <w:t>16/14264/FUL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rPr>
                      <w:rFonts w:ascii="Calibri" w:hAnsi="Calibri"/>
                      <w:color w:val="000000"/>
                    </w:rPr>
                  </w:pPr>
                  <w:r>
                    <w:rPr>
                      <w:rFonts w:ascii="Calibri" w:hAnsi="Calibri"/>
                      <w:color w:val="000000"/>
                    </w:rPr>
                    <w:t>Conversion of existing garden store to single holiday let unit</w:t>
                  </w:r>
                </w:p>
                <w:p w:rsidR="00541241" w:rsidRDefault="00541241" w:rsidP="007267EA">
                  <w:pPr>
                    <w:jc w:val="both"/>
                  </w:pPr>
                </w:p>
              </w:tc>
            </w:tr>
            <w:tr w:rsidR="00541241" w:rsidTr="008141E1">
              <w:tc>
                <w:tcPr>
                  <w:tcW w:w="2661" w:type="dxa"/>
                  <w:vAlign w:val="center"/>
                </w:tcPr>
                <w:p w:rsidR="006E79A7" w:rsidRDefault="006E79A7" w:rsidP="006E79A7">
                  <w:pPr>
                    <w:rPr>
                      <w:rFonts w:ascii="Calibri" w:hAnsi="Calibri"/>
                      <w:color w:val="000000"/>
                    </w:rPr>
                  </w:pPr>
                  <w:r>
                    <w:rPr>
                      <w:rFonts w:ascii="Calibri" w:hAnsi="Calibri"/>
                      <w:color w:val="000000"/>
                    </w:rPr>
                    <w:t>Land At Onnen Fawr</w:t>
                  </w:r>
                  <w:r>
                    <w:rPr>
                      <w:rFonts w:ascii="Calibri" w:hAnsi="Calibri"/>
                      <w:color w:val="000000"/>
                    </w:rPr>
                    <w:br/>
                    <w:t>Crai</w:t>
                  </w:r>
                  <w:r>
                    <w:rPr>
                      <w:rFonts w:ascii="Calibri" w:hAnsi="Calibri"/>
                      <w:color w:val="000000"/>
                    </w:rPr>
                    <w:br/>
                    <w:t>Brecon</w:t>
                  </w:r>
                  <w:r>
                    <w:rPr>
                      <w:rFonts w:ascii="Calibri" w:hAnsi="Calibri"/>
                      <w:color w:val="000000"/>
                    </w:rPr>
                    <w:br/>
                    <w:t>Powys</w:t>
                  </w:r>
                  <w:r>
                    <w:rPr>
                      <w:rFonts w:ascii="Calibri" w:hAnsi="Calibri"/>
                      <w:color w:val="000000"/>
                    </w:rPr>
                    <w:br/>
                    <w:t>LD3 8PY</w:t>
                  </w:r>
                </w:p>
                <w:p w:rsidR="00541241" w:rsidRPr="004F1BF5" w:rsidRDefault="00541241" w:rsidP="00FD516C">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17/14343/FUL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 xml:space="preserve">Change of use of agricultural land to camping site for 3 non-permanent shepherds huts </w:t>
                  </w:r>
                </w:p>
                <w:p w:rsidR="00541241" w:rsidRDefault="00541241" w:rsidP="007267EA">
                  <w:pPr>
                    <w:jc w:val="both"/>
                  </w:pPr>
                </w:p>
              </w:tc>
            </w:tr>
            <w:tr w:rsidR="00541241" w:rsidTr="008141E1">
              <w:tc>
                <w:tcPr>
                  <w:tcW w:w="2661" w:type="dxa"/>
                  <w:vAlign w:val="center"/>
                </w:tcPr>
                <w:p w:rsidR="00541241" w:rsidRPr="006E79A7" w:rsidRDefault="006E79A7" w:rsidP="007267EA">
                  <w:pPr>
                    <w:rPr>
                      <w:rFonts w:ascii="Calibri" w:hAnsi="Calibri"/>
                      <w:color w:val="000000"/>
                    </w:rPr>
                  </w:pPr>
                  <w:r>
                    <w:rPr>
                      <w:rFonts w:ascii="Calibri" w:hAnsi="Calibri"/>
                      <w:color w:val="000000"/>
                    </w:rPr>
                    <w:t xml:space="preserve">Land Opposite Hendre </w:t>
                  </w:r>
                  <w:r>
                    <w:rPr>
                      <w:rFonts w:ascii="Calibri" w:hAnsi="Calibri"/>
                      <w:color w:val="000000"/>
                    </w:rPr>
                    <w:br/>
                    <w:t>The Bank</w:t>
                  </w:r>
                  <w:r>
                    <w:rPr>
                      <w:rFonts w:ascii="Calibri" w:hAnsi="Calibri"/>
                      <w:color w:val="000000"/>
                    </w:rPr>
                    <w:br/>
                    <w:t>Talgarth</w:t>
                  </w:r>
                  <w:r>
                    <w:rPr>
                      <w:rFonts w:ascii="Calibri" w:hAnsi="Calibri"/>
                      <w:color w:val="000000"/>
                    </w:rPr>
                    <w:br/>
                    <w:t>LD3 0BN</w:t>
                  </w:r>
                </w:p>
              </w:tc>
              <w:tc>
                <w:tcPr>
                  <w:tcW w:w="1378" w:type="dxa"/>
                  <w:vAlign w:val="center"/>
                </w:tcPr>
                <w:p w:rsidR="006E79A7" w:rsidRDefault="006E79A7" w:rsidP="006E79A7">
                  <w:pPr>
                    <w:rPr>
                      <w:rFonts w:ascii="Calibri" w:hAnsi="Calibri"/>
                      <w:color w:val="000000"/>
                    </w:rPr>
                  </w:pPr>
                  <w:r>
                    <w:rPr>
                      <w:rFonts w:ascii="Calibri" w:hAnsi="Calibri"/>
                      <w:color w:val="000000"/>
                    </w:rPr>
                    <w:t>17/14349/FUL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Erection of 2, single-storey holiday chalets</w:t>
                  </w:r>
                </w:p>
                <w:p w:rsidR="00541241" w:rsidRDefault="00541241" w:rsidP="007267EA">
                  <w:pPr>
                    <w:jc w:val="both"/>
                  </w:pPr>
                </w:p>
              </w:tc>
            </w:tr>
            <w:tr w:rsidR="00541241" w:rsidTr="008141E1">
              <w:tc>
                <w:tcPr>
                  <w:tcW w:w="2661" w:type="dxa"/>
                  <w:vAlign w:val="center"/>
                </w:tcPr>
                <w:p w:rsidR="00541241" w:rsidRPr="006E79A7" w:rsidRDefault="006E79A7" w:rsidP="007267EA">
                  <w:pPr>
                    <w:rPr>
                      <w:rFonts w:ascii="Calibri" w:hAnsi="Calibri"/>
                      <w:color w:val="000000"/>
                    </w:rPr>
                  </w:pPr>
                  <w:r>
                    <w:rPr>
                      <w:rFonts w:ascii="Calibri" w:hAnsi="Calibri"/>
                      <w:color w:val="000000"/>
                    </w:rPr>
                    <w:lastRenderedPageBreak/>
                    <w:t>The Manse</w:t>
                  </w:r>
                  <w:r>
                    <w:rPr>
                      <w:rFonts w:ascii="Calibri" w:hAnsi="Calibri"/>
                      <w:color w:val="000000"/>
                    </w:rPr>
                    <w:br/>
                    <w:t>Station Road</w:t>
                  </w:r>
                  <w:r>
                    <w:rPr>
                      <w:rFonts w:ascii="Calibri" w:hAnsi="Calibri"/>
                      <w:color w:val="000000"/>
                    </w:rPr>
                    <w:br/>
                    <w:t>Gilwern</w:t>
                  </w:r>
                  <w:r>
                    <w:rPr>
                      <w:rFonts w:ascii="Calibri" w:hAnsi="Calibri"/>
                      <w:color w:val="000000"/>
                    </w:rPr>
                    <w:br/>
                    <w:t>Monmouthshire</w:t>
                  </w:r>
                  <w:r>
                    <w:rPr>
                      <w:rFonts w:ascii="Calibri" w:hAnsi="Calibri"/>
                      <w:color w:val="000000"/>
                    </w:rPr>
                    <w:br/>
                    <w:t>NP7 0BY</w:t>
                  </w:r>
                </w:p>
              </w:tc>
              <w:tc>
                <w:tcPr>
                  <w:tcW w:w="1378" w:type="dxa"/>
                  <w:vAlign w:val="center"/>
                </w:tcPr>
                <w:p w:rsidR="006E79A7" w:rsidRDefault="006E79A7" w:rsidP="006E79A7">
                  <w:pPr>
                    <w:rPr>
                      <w:rFonts w:ascii="Calibri" w:hAnsi="Calibri"/>
                      <w:color w:val="000000"/>
                    </w:rPr>
                  </w:pPr>
                  <w:r>
                    <w:rPr>
                      <w:rFonts w:ascii="Calibri" w:hAnsi="Calibri"/>
                      <w:color w:val="000000"/>
                    </w:rPr>
                    <w:t>16/14267/FUL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Proposed holiday letting unit in garden</w:t>
                  </w:r>
                </w:p>
                <w:p w:rsidR="00541241" w:rsidRDefault="00541241" w:rsidP="007267EA">
                  <w:pPr>
                    <w:jc w:val="both"/>
                  </w:pPr>
                </w:p>
              </w:tc>
            </w:tr>
            <w:tr w:rsidR="00541241"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Braeriach </w:t>
                  </w:r>
                  <w:r>
                    <w:rPr>
                      <w:rFonts w:ascii="Calibri" w:hAnsi="Calibri"/>
                      <w:color w:val="000000"/>
                    </w:rPr>
                    <w:br/>
                    <w:t>2 Camden Crescent</w:t>
                  </w:r>
                  <w:r>
                    <w:rPr>
                      <w:rFonts w:ascii="Calibri" w:hAnsi="Calibri"/>
                      <w:color w:val="000000"/>
                    </w:rPr>
                    <w:br/>
                    <w:t>Brecon</w:t>
                  </w:r>
                  <w:r>
                    <w:rPr>
                      <w:rFonts w:ascii="Calibri" w:hAnsi="Calibri"/>
                      <w:color w:val="000000"/>
                    </w:rPr>
                    <w:br/>
                    <w:t>LD3 7BY</w:t>
                  </w:r>
                </w:p>
                <w:p w:rsidR="00541241" w:rsidRPr="004F1BF5" w:rsidRDefault="00541241"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16/14255/FUL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Conversion of outbuilding to holiday letting accommodation, including front extension.</w:t>
                  </w:r>
                </w:p>
                <w:p w:rsidR="00541241" w:rsidRDefault="00541241"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Trwyn Tal</w:t>
                  </w:r>
                  <w:r>
                    <w:rPr>
                      <w:rFonts w:ascii="Calibri" w:hAnsi="Calibri"/>
                      <w:color w:val="000000"/>
                    </w:rPr>
                    <w:br/>
                    <w:t>Capel-y-Ffin</w:t>
                  </w:r>
                  <w:r>
                    <w:rPr>
                      <w:rFonts w:ascii="Calibri" w:hAnsi="Calibri"/>
                      <w:color w:val="000000"/>
                    </w:rPr>
                    <w:br/>
                    <w:t>Nr Abergavenny</w:t>
                  </w:r>
                  <w:r>
                    <w:rPr>
                      <w:rFonts w:ascii="Calibri" w:hAnsi="Calibri"/>
                      <w:color w:val="000000"/>
                    </w:rPr>
                    <w:br/>
                    <w:t>Powys</w:t>
                  </w:r>
                  <w:r>
                    <w:rPr>
                      <w:rFonts w:ascii="Calibri" w:hAnsi="Calibri"/>
                      <w:color w:val="000000"/>
                    </w:rPr>
                    <w:br/>
                    <w:t>NP7 7NP</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16/13701/FUL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rPr>
                      <w:rFonts w:ascii="Calibri" w:hAnsi="Calibri"/>
                      <w:color w:val="000000"/>
                    </w:rPr>
                  </w:pPr>
                  <w:r>
                    <w:rPr>
                      <w:rFonts w:ascii="Calibri" w:hAnsi="Calibri"/>
                      <w:color w:val="000000"/>
                    </w:rPr>
                    <w:t>Change of use of building from ancillary residential accommodation to enable either self-catering holiday accommodation or serviced holiday accommodation</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Camp Cynrig</w:t>
                  </w:r>
                  <w:r>
                    <w:rPr>
                      <w:rFonts w:ascii="Calibri" w:hAnsi="Calibri"/>
                      <w:color w:val="000000"/>
                    </w:rPr>
                    <w:br/>
                    <w:t>Cantref</w:t>
                  </w:r>
                  <w:r>
                    <w:rPr>
                      <w:rFonts w:ascii="Calibri" w:hAnsi="Calibri"/>
                      <w:color w:val="000000"/>
                    </w:rPr>
                    <w:br/>
                    <w:t>Brecon</w:t>
                  </w:r>
                  <w:r>
                    <w:rPr>
                      <w:rFonts w:ascii="Calibri" w:hAnsi="Calibri"/>
                      <w:color w:val="000000"/>
                    </w:rPr>
                    <w:br/>
                    <w:t>LD3 8LR</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16/13977/FUL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Provision of Shepherds Hut for tourism use</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Sycamore Barn </w:t>
                  </w:r>
                </w:p>
                <w:p w:rsidR="006E79A7" w:rsidRDefault="006E79A7" w:rsidP="006E79A7">
                  <w:pPr>
                    <w:rPr>
                      <w:rFonts w:ascii="Calibri" w:hAnsi="Calibri"/>
                      <w:color w:val="000000"/>
                    </w:rPr>
                  </w:pPr>
                  <w:r>
                    <w:rPr>
                      <w:rFonts w:ascii="Calibri" w:hAnsi="Calibri"/>
                      <w:color w:val="000000"/>
                    </w:rPr>
                    <w:t xml:space="preserve">Tyfry Farm </w:t>
                  </w:r>
                  <w:r>
                    <w:rPr>
                      <w:rFonts w:ascii="Calibri" w:hAnsi="Calibri"/>
                      <w:color w:val="000000"/>
                    </w:rPr>
                    <w:br/>
                    <w:t>Hillside</w:t>
                  </w:r>
                  <w:r>
                    <w:rPr>
                      <w:rFonts w:ascii="Calibri" w:hAnsi="Calibri"/>
                      <w:color w:val="000000"/>
                    </w:rPr>
                    <w:br/>
                    <w:t>Llangattock</w:t>
                  </w:r>
                  <w:r>
                    <w:rPr>
                      <w:rFonts w:ascii="Calibri" w:hAnsi="Calibri"/>
                      <w:color w:val="000000"/>
                    </w:rPr>
                    <w:br/>
                    <w:t>NP8 1LH</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16/13804/FUL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Change of use of a redundant barn known as Sycamore Barn and the plot it occupies to Holiday Cottage let.</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Tyr y Wen Farm </w:t>
                  </w:r>
                  <w:r>
                    <w:rPr>
                      <w:rFonts w:ascii="Calibri" w:hAnsi="Calibri"/>
                      <w:color w:val="000000"/>
                    </w:rPr>
                    <w:br/>
                    <w:t>Great Triley Road</w:t>
                  </w:r>
                  <w:r>
                    <w:rPr>
                      <w:rFonts w:ascii="Calibri" w:hAnsi="Calibri"/>
                      <w:color w:val="000000"/>
                    </w:rPr>
                    <w:br/>
                    <w:t>Triley</w:t>
                  </w:r>
                  <w:r>
                    <w:rPr>
                      <w:rFonts w:ascii="Calibri" w:hAnsi="Calibri"/>
                      <w:color w:val="000000"/>
                    </w:rPr>
                    <w:br/>
                    <w:t>Llantilio Pertholey</w:t>
                  </w:r>
                  <w:r>
                    <w:rPr>
                      <w:rFonts w:ascii="Calibri" w:hAnsi="Calibri"/>
                      <w:color w:val="000000"/>
                    </w:rPr>
                    <w:br/>
                    <w:t>NP7 8AU</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16/14280/FUL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For the conversion of an existing workshop building into a two-bed holiday let and for the construction of a two-bay garage / carport incorporating a home office</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Nantmoel Farm </w:t>
                  </w:r>
                  <w:r>
                    <w:rPr>
                      <w:rFonts w:ascii="Calibri" w:hAnsi="Calibri"/>
                      <w:color w:val="000000"/>
                    </w:rPr>
                    <w:br/>
                    <w:t>Swansea Road To Nantmoel Farm</w:t>
                  </w:r>
                  <w:r>
                    <w:rPr>
                      <w:rFonts w:ascii="Calibri" w:hAnsi="Calibri"/>
                      <w:color w:val="000000"/>
                    </w:rPr>
                    <w:br/>
                    <w:t>Llwydcoed</w:t>
                  </w:r>
                  <w:r>
                    <w:rPr>
                      <w:rFonts w:ascii="Calibri" w:hAnsi="Calibri"/>
                      <w:color w:val="000000"/>
                    </w:rPr>
                    <w:br/>
                  </w:r>
                  <w:r>
                    <w:rPr>
                      <w:rFonts w:ascii="Calibri" w:hAnsi="Calibri"/>
                      <w:color w:val="000000"/>
                    </w:rPr>
                    <w:lastRenderedPageBreak/>
                    <w:t>Aberdare</w:t>
                  </w:r>
                  <w:r>
                    <w:rPr>
                      <w:rFonts w:ascii="Calibri" w:hAnsi="Calibri"/>
                      <w:color w:val="000000"/>
                    </w:rPr>
                    <w:br/>
                    <w:t>CF44 0PJ</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lastRenderedPageBreak/>
                    <w:t>16/13836/FUL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Conversion of Barn into two Holiday Cottages with adjoining Bike storage, Parking Facilities together with External Works and works to access</w:t>
                  </w:r>
                </w:p>
                <w:p w:rsidR="006E79A7" w:rsidRDefault="006E79A7" w:rsidP="007267EA">
                  <w:pPr>
                    <w:jc w:val="both"/>
                  </w:pPr>
                </w:p>
              </w:tc>
            </w:tr>
            <w:tr w:rsidR="006E79A7" w:rsidTr="008141E1">
              <w:tc>
                <w:tcPr>
                  <w:tcW w:w="2661" w:type="dxa"/>
                  <w:vAlign w:val="center"/>
                </w:tcPr>
                <w:p w:rsidR="006E79A7" w:rsidRPr="006E79A7" w:rsidRDefault="006E79A7" w:rsidP="007267EA">
                  <w:pPr>
                    <w:rPr>
                      <w:rFonts w:ascii="Calibri" w:hAnsi="Calibri"/>
                      <w:color w:val="000000"/>
                    </w:rPr>
                  </w:pPr>
                  <w:r>
                    <w:rPr>
                      <w:rFonts w:ascii="Calibri" w:hAnsi="Calibri"/>
                      <w:color w:val="000000"/>
                    </w:rPr>
                    <w:t xml:space="preserve">Land At Gilestone Farm </w:t>
                  </w:r>
                  <w:r>
                    <w:rPr>
                      <w:rFonts w:ascii="Calibri" w:hAnsi="Calibri"/>
                      <w:color w:val="000000"/>
                    </w:rPr>
                    <w:br/>
                    <w:t>Talybont-On-Usk</w:t>
                  </w:r>
                  <w:r>
                    <w:rPr>
                      <w:rFonts w:ascii="Calibri" w:hAnsi="Calibri"/>
                      <w:color w:val="000000"/>
                    </w:rPr>
                    <w:br/>
                    <w:t>Brecon</w:t>
                  </w:r>
                  <w:r>
                    <w:rPr>
                      <w:rFonts w:ascii="Calibri" w:hAnsi="Calibri"/>
                      <w:color w:val="000000"/>
                    </w:rPr>
                    <w:br/>
                    <w:t>LD3 7JE</w:t>
                  </w:r>
                </w:p>
              </w:tc>
              <w:tc>
                <w:tcPr>
                  <w:tcW w:w="1378" w:type="dxa"/>
                  <w:vAlign w:val="center"/>
                </w:tcPr>
                <w:p w:rsidR="006E79A7" w:rsidRDefault="006E79A7" w:rsidP="006E79A7">
                  <w:pPr>
                    <w:rPr>
                      <w:rFonts w:ascii="Calibri" w:hAnsi="Calibri"/>
                      <w:color w:val="000000"/>
                    </w:rPr>
                  </w:pPr>
                  <w:r>
                    <w:rPr>
                      <w:rFonts w:ascii="Calibri" w:hAnsi="Calibri"/>
                      <w:color w:val="000000"/>
                    </w:rPr>
                    <w:t>16/13735/FUL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Three proposed units of holiday accommodation and installation of sewage treatment plant</w:t>
                  </w:r>
                </w:p>
                <w:p w:rsidR="006E79A7" w:rsidRDefault="006E79A7" w:rsidP="007267EA">
                  <w:pPr>
                    <w:jc w:val="both"/>
                  </w:pPr>
                </w:p>
              </w:tc>
            </w:tr>
          </w:tbl>
          <w:p w:rsidR="00541241" w:rsidRPr="0033231E" w:rsidRDefault="00541241" w:rsidP="009819AC">
            <w:pPr>
              <w:jc w:val="both"/>
            </w:pP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tcPr>
          <w:p w:rsidR="00541241" w:rsidRPr="00EC084D" w:rsidRDefault="00541241" w:rsidP="0033231E">
            <w:pPr>
              <w:jc w:val="both"/>
              <w:rPr>
                <w:b/>
              </w:rPr>
            </w:pPr>
            <w:r w:rsidRPr="00EC084D">
              <w:rPr>
                <w:b/>
              </w:rPr>
              <w:t>Recommendation:</w:t>
            </w:r>
          </w:p>
          <w:p w:rsidR="00541241" w:rsidRPr="00FA1BAD" w:rsidRDefault="00541241" w:rsidP="0033231E">
            <w:pPr>
              <w:jc w:val="both"/>
            </w:pPr>
            <w:r w:rsidRPr="00FA1BAD">
              <w:t>The requirement of this indicator is being met.  It is, however, considered to be an important indicator and will continue to be monitored.</w:t>
            </w:r>
          </w:p>
        </w:tc>
      </w:tr>
    </w:tbl>
    <w:p w:rsidR="00F65E5F" w:rsidRDefault="00F65E5F" w:rsidP="00F65E5F">
      <w:pPr>
        <w:jc w:val="both"/>
        <w:rPr>
          <w:b/>
        </w:rPr>
      </w:pPr>
    </w:p>
    <w:p w:rsidR="00541241" w:rsidRPr="00F65E5F" w:rsidRDefault="00541241" w:rsidP="00F65E5F">
      <w:pPr>
        <w:jc w:val="both"/>
        <w:rPr>
          <w:b/>
        </w:rPr>
      </w:pPr>
    </w:p>
    <w:p w:rsidR="00F65E5F" w:rsidRDefault="004668D1" w:rsidP="002D73AC">
      <w:pPr>
        <w:jc w:val="both"/>
        <w:rPr>
          <w:b/>
          <w:sz w:val="24"/>
          <w:szCs w:val="24"/>
        </w:rPr>
      </w:pPr>
      <w:r w:rsidRPr="002D73AC">
        <w:rPr>
          <w:b/>
          <w:sz w:val="24"/>
          <w:szCs w:val="24"/>
        </w:rPr>
        <w:t>Sustainable Communities</w:t>
      </w:r>
    </w:p>
    <w:p w:rsidR="00855D5C" w:rsidRPr="00855D5C" w:rsidRDefault="00855D5C" w:rsidP="002D73AC">
      <w:pPr>
        <w:jc w:val="both"/>
        <w:rPr>
          <w:b/>
        </w:rPr>
      </w:pPr>
      <w:r>
        <w:rPr>
          <w:b/>
        </w:rPr>
        <w:t>Figure 35</w:t>
      </w:r>
    </w:p>
    <w:tbl>
      <w:tblPr>
        <w:tblStyle w:val="TableGrid"/>
        <w:tblW w:w="0" w:type="auto"/>
        <w:tblLook w:val="04A0" w:firstRow="1" w:lastRow="0" w:firstColumn="1" w:lastColumn="0" w:noHBand="0" w:noVBand="1"/>
      </w:tblPr>
      <w:tblGrid>
        <w:gridCol w:w="1516"/>
        <w:gridCol w:w="7500"/>
      </w:tblGrid>
      <w:tr w:rsidR="0033231E" w:rsidRPr="009819AC" w:rsidTr="00541241">
        <w:tc>
          <w:tcPr>
            <w:tcW w:w="9016" w:type="dxa"/>
            <w:gridSpan w:val="2"/>
            <w:shd w:val="clear" w:color="auto" w:fill="4BACC6" w:themeFill="accent5"/>
          </w:tcPr>
          <w:p w:rsidR="0033231E" w:rsidRPr="0033231E" w:rsidRDefault="0033231E" w:rsidP="009819AC">
            <w:pPr>
              <w:jc w:val="both"/>
              <w:rPr>
                <w:b/>
              </w:rPr>
            </w:pPr>
            <w:r w:rsidRPr="0033231E">
              <w:rPr>
                <w:b/>
              </w:rPr>
              <w:t>Number of applications approved resulting in the loss of community facilities</w:t>
            </w:r>
            <w:r w:rsidR="009D75FB">
              <w:rPr>
                <w:b/>
              </w:rPr>
              <w:t xml:space="preserve"> </w:t>
            </w:r>
          </w:p>
        </w:tc>
      </w:tr>
      <w:tr w:rsidR="00541241" w:rsidRPr="009819AC" w:rsidTr="008446ED">
        <w:tc>
          <w:tcPr>
            <w:tcW w:w="1516" w:type="dxa"/>
            <w:vMerge w:val="restart"/>
            <w:shd w:val="clear" w:color="auto" w:fill="00B050"/>
          </w:tcPr>
          <w:p w:rsidR="00541241" w:rsidRDefault="00541241" w:rsidP="00541241">
            <w:pPr>
              <w:rPr>
                <w:b/>
              </w:rPr>
            </w:pPr>
            <w:r>
              <w:rPr>
                <w:b/>
              </w:rPr>
              <w:t>Continue Monitoring</w:t>
            </w:r>
          </w:p>
        </w:tc>
        <w:tc>
          <w:tcPr>
            <w:tcW w:w="7500" w:type="dxa"/>
            <w:shd w:val="clear" w:color="auto" w:fill="00B050"/>
          </w:tcPr>
          <w:p w:rsidR="00366D2A" w:rsidRPr="008446ED" w:rsidRDefault="00366D2A" w:rsidP="00366D2A">
            <w:pPr>
              <w:jc w:val="both"/>
              <w:rPr>
                <w:b/>
              </w:rPr>
            </w:pPr>
            <w:r w:rsidRPr="008446ED">
              <w:rPr>
                <w:b/>
              </w:rPr>
              <w:t>Third Monitoring Period</w:t>
            </w:r>
          </w:p>
          <w:p w:rsidR="00541241" w:rsidRDefault="00366D2A" w:rsidP="00366D2A">
            <w:pPr>
              <w:jc w:val="both"/>
            </w:pPr>
            <w:r w:rsidRPr="008446ED">
              <w:t>No applications approved contrary to Strategic Policy SP15 and the protective aim of Policy 50 resulting in the loss of community facilities</w:t>
            </w:r>
          </w:p>
        </w:tc>
      </w:tr>
      <w:tr w:rsidR="00541241" w:rsidRPr="009819AC" w:rsidTr="008446ED">
        <w:tc>
          <w:tcPr>
            <w:tcW w:w="1516" w:type="dxa"/>
            <w:vMerge/>
            <w:shd w:val="clear" w:color="auto" w:fill="00B050"/>
          </w:tcPr>
          <w:p w:rsidR="00541241" w:rsidRPr="009819AC" w:rsidRDefault="00541241" w:rsidP="0023380D">
            <w:pPr>
              <w:jc w:val="center"/>
              <w:rPr>
                <w:b/>
              </w:rPr>
            </w:pPr>
          </w:p>
        </w:tc>
        <w:tc>
          <w:tcPr>
            <w:tcW w:w="7500" w:type="dxa"/>
            <w:shd w:val="clear" w:color="auto" w:fill="BFBFBF" w:themeFill="background1" w:themeFillShade="BF"/>
          </w:tcPr>
          <w:p w:rsidR="00541241" w:rsidRPr="00541241" w:rsidRDefault="00541241" w:rsidP="001916B4">
            <w:pPr>
              <w:jc w:val="both"/>
              <w:rPr>
                <w:b/>
              </w:rPr>
            </w:pPr>
            <w:r w:rsidRPr="00541241">
              <w:rPr>
                <w:b/>
              </w:rPr>
              <w:t>Second Monitoring Period</w:t>
            </w:r>
          </w:p>
          <w:p w:rsidR="00541241" w:rsidRPr="0033231E" w:rsidRDefault="00541241" w:rsidP="001916B4">
            <w:pPr>
              <w:jc w:val="both"/>
            </w:pPr>
            <w:r>
              <w:t>No applications approved contrary to Strategic Policy SP15 and the protective aim of Policy 50 resulting in the loss of community facilities</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shd w:val="clear" w:color="auto" w:fill="D9D9D9" w:themeFill="background1" w:themeFillShade="D9"/>
          </w:tcPr>
          <w:p w:rsidR="00541241" w:rsidRPr="00FA1BAD" w:rsidRDefault="00541241" w:rsidP="001916B4">
            <w:pPr>
              <w:jc w:val="both"/>
              <w:rPr>
                <w:b/>
              </w:rPr>
            </w:pPr>
            <w:r>
              <w:rPr>
                <w:b/>
              </w:rPr>
              <w:t>First</w:t>
            </w:r>
            <w:r w:rsidRPr="00FA1BAD">
              <w:rPr>
                <w:b/>
              </w:rPr>
              <w:t xml:space="preserve"> Monitoring Period:</w:t>
            </w:r>
          </w:p>
          <w:p w:rsidR="00541241" w:rsidRDefault="00541241" w:rsidP="001916B4">
            <w:pPr>
              <w:jc w:val="both"/>
            </w:pPr>
            <w:r w:rsidRPr="00FA1BAD">
              <w:t>No applications resulting in the loss of a community facility</w:t>
            </w:r>
            <w:r>
              <w:t>.</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tcPr>
          <w:p w:rsidR="00541241" w:rsidRDefault="00541241" w:rsidP="009819AC">
            <w:pPr>
              <w:jc w:val="both"/>
              <w:rPr>
                <w:b/>
              </w:rPr>
            </w:pPr>
            <w:r>
              <w:rPr>
                <w:b/>
              </w:rPr>
              <w:t>Comments:</w:t>
            </w:r>
          </w:p>
          <w:p w:rsidR="00541241" w:rsidRPr="0033231E" w:rsidRDefault="00541241" w:rsidP="008230F3">
            <w:pPr>
              <w:jc w:val="both"/>
            </w:pPr>
            <w:r>
              <w:t>None.</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tcPr>
          <w:p w:rsidR="00541241" w:rsidRPr="00EC084D" w:rsidRDefault="00541241" w:rsidP="0033231E">
            <w:pPr>
              <w:jc w:val="both"/>
              <w:rPr>
                <w:b/>
              </w:rPr>
            </w:pPr>
            <w:r w:rsidRPr="00EC084D">
              <w:rPr>
                <w:b/>
              </w:rPr>
              <w:t>Recommendation:</w:t>
            </w:r>
          </w:p>
          <w:p w:rsidR="00541241" w:rsidRPr="008230F3" w:rsidRDefault="00541241" w:rsidP="0033231E">
            <w:pPr>
              <w:jc w:val="both"/>
            </w:pPr>
            <w:r w:rsidRPr="008230F3">
              <w:t>The requirement of this indicator is being met.  It is, however, considered to be an important indicator and will continue to be monitored.</w:t>
            </w:r>
          </w:p>
        </w:tc>
      </w:tr>
    </w:tbl>
    <w:p w:rsidR="0023380D" w:rsidRPr="00F65E5F" w:rsidRDefault="0023380D" w:rsidP="00F65E5F">
      <w:pPr>
        <w:jc w:val="both"/>
        <w:rPr>
          <w:b/>
        </w:rPr>
      </w:pPr>
    </w:p>
    <w:p w:rsidR="00F65E5F" w:rsidRDefault="004668D1" w:rsidP="002D73AC">
      <w:pPr>
        <w:jc w:val="both"/>
        <w:rPr>
          <w:b/>
          <w:sz w:val="24"/>
          <w:szCs w:val="24"/>
        </w:rPr>
      </w:pPr>
      <w:r w:rsidRPr="002D73AC">
        <w:rPr>
          <w:b/>
          <w:sz w:val="24"/>
          <w:szCs w:val="24"/>
        </w:rPr>
        <w:t>Infrastructure</w:t>
      </w:r>
    </w:p>
    <w:p w:rsidR="00855D5C" w:rsidRPr="00855D5C" w:rsidRDefault="00855D5C" w:rsidP="002D73AC">
      <w:pPr>
        <w:jc w:val="both"/>
        <w:rPr>
          <w:b/>
        </w:rPr>
      </w:pPr>
      <w:r>
        <w:rPr>
          <w:b/>
        </w:rPr>
        <w:t>Figure 36</w:t>
      </w:r>
    </w:p>
    <w:tbl>
      <w:tblPr>
        <w:tblStyle w:val="TableGrid"/>
        <w:tblW w:w="0" w:type="auto"/>
        <w:tblLook w:val="04A0" w:firstRow="1" w:lastRow="0" w:firstColumn="1" w:lastColumn="0" w:noHBand="0" w:noVBand="1"/>
      </w:tblPr>
      <w:tblGrid>
        <w:gridCol w:w="1516"/>
        <w:gridCol w:w="7500"/>
      </w:tblGrid>
      <w:tr w:rsidR="0033231E" w:rsidRPr="009819AC" w:rsidTr="00541241">
        <w:tc>
          <w:tcPr>
            <w:tcW w:w="9016" w:type="dxa"/>
            <w:gridSpan w:val="2"/>
            <w:shd w:val="clear" w:color="auto" w:fill="4BACC6" w:themeFill="accent5"/>
          </w:tcPr>
          <w:p w:rsidR="0033231E" w:rsidRPr="0033231E" w:rsidRDefault="0033231E" w:rsidP="009819AC">
            <w:pPr>
              <w:jc w:val="both"/>
              <w:rPr>
                <w:b/>
                <w:highlight w:val="red"/>
              </w:rPr>
            </w:pPr>
            <w:r w:rsidRPr="0033231E">
              <w:rPr>
                <w:b/>
              </w:rPr>
              <w:t>Amount of new development providing SUDS</w:t>
            </w:r>
          </w:p>
        </w:tc>
      </w:tr>
      <w:tr w:rsidR="00541241" w:rsidRPr="009819AC" w:rsidTr="008446ED">
        <w:tc>
          <w:tcPr>
            <w:tcW w:w="1516" w:type="dxa"/>
            <w:vMerge w:val="restart"/>
            <w:shd w:val="clear" w:color="auto" w:fill="00B050"/>
          </w:tcPr>
          <w:p w:rsidR="00541241" w:rsidRDefault="00541241" w:rsidP="0033231E">
            <w:pPr>
              <w:jc w:val="center"/>
              <w:rPr>
                <w:b/>
              </w:rPr>
            </w:pPr>
            <w:r>
              <w:rPr>
                <w:b/>
              </w:rPr>
              <w:t>Continue Monitoring</w:t>
            </w:r>
          </w:p>
        </w:tc>
        <w:tc>
          <w:tcPr>
            <w:tcW w:w="7500" w:type="dxa"/>
            <w:shd w:val="clear" w:color="auto" w:fill="00B050"/>
          </w:tcPr>
          <w:p w:rsidR="006B4EB4" w:rsidRPr="008446ED" w:rsidRDefault="006B4EB4" w:rsidP="006B4EB4">
            <w:pPr>
              <w:tabs>
                <w:tab w:val="right" w:pos="7284"/>
              </w:tabs>
              <w:jc w:val="both"/>
              <w:rPr>
                <w:b/>
              </w:rPr>
            </w:pPr>
            <w:r w:rsidRPr="008446ED">
              <w:rPr>
                <w:b/>
              </w:rPr>
              <w:t>Third Monitoring Period</w:t>
            </w:r>
          </w:p>
          <w:p w:rsidR="00541241" w:rsidRDefault="006B4EB4" w:rsidP="006B4EB4">
            <w:pPr>
              <w:tabs>
                <w:tab w:val="right" w:pos="7284"/>
              </w:tabs>
              <w:jc w:val="both"/>
            </w:pPr>
            <w:r w:rsidRPr="008446ED">
              <w:t>All relevant applications approved considered the requirement for SUDS.</w:t>
            </w:r>
          </w:p>
        </w:tc>
      </w:tr>
      <w:tr w:rsidR="00541241" w:rsidRPr="009819AC" w:rsidTr="008446ED">
        <w:tc>
          <w:tcPr>
            <w:tcW w:w="1516" w:type="dxa"/>
            <w:vMerge/>
            <w:shd w:val="clear" w:color="auto" w:fill="00B050"/>
          </w:tcPr>
          <w:p w:rsidR="00541241" w:rsidRPr="009819AC" w:rsidRDefault="00541241" w:rsidP="0033231E">
            <w:pPr>
              <w:jc w:val="center"/>
              <w:rPr>
                <w:b/>
              </w:rPr>
            </w:pPr>
          </w:p>
        </w:tc>
        <w:tc>
          <w:tcPr>
            <w:tcW w:w="7500" w:type="dxa"/>
            <w:shd w:val="clear" w:color="auto" w:fill="BFBFBF" w:themeFill="background1" w:themeFillShade="BF"/>
          </w:tcPr>
          <w:p w:rsidR="00541241" w:rsidRPr="00541241" w:rsidRDefault="00541241" w:rsidP="00541241">
            <w:pPr>
              <w:tabs>
                <w:tab w:val="right" w:pos="7284"/>
              </w:tabs>
              <w:jc w:val="both"/>
              <w:rPr>
                <w:b/>
              </w:rPr>
            </w:pPr>
            <w:r w:rsidRPr="00541241">
              <w:rPr>
                <w:b/>
              </w:rPr>
              <w:t>Second Monitoring Period</w:t>
            </w:r>
          </w:p>
          <w:p w:rsidR="00541241" w:rsidRPr="0033231E" w:rsidRDefault="00541241" w:rsidP="00541241">
            <w:pPr>
              <w:tabs>
                <w:tab w:val="right" w:pos="7284"/>
              </w:tabs>
              <w:jc w:val="both"/>
            </w:pPr>
            <w:r>
              <w:t>All relevant applications approved considered the requirement for SUDS.</w:t>
            </w:r>
            <w:r>
              <w:tab/>
            </w:r>
          </w:p>
        </w:tc>
      </w:tr>
      <w:tr w:rsidR="00541241" w:rsidRPr="009819AC" w:rsidTr="00541241">
        <w:tc>
          <w:tcPr>
            <w:tcW w:w="1516" w:type="dxa"/>
            <w:vMerge/>
            <w:shd w:val="clear" w:color="auto" w:fill="00B050"/>
          </w:tcPr>
          <w:p w:rsidR="00541241" w:rsidRDefault="00541241" w:rsidP="0033231E">
            <w:pPr>
              <w:jc w:val="center"/>
              <w:rPr>
                <w:b/>
              </w:rPr>
            </w:pPr>
          </w:p>
        </w:tc>
        <w:tc>
          <w:tcPr>
            <w:tcW w:w="7500" w:type="dxa"/>
            <w:shd w:val="clear" w:color="auto" w:fill="D9D9D9" w:themeFill="background1" w:themeFillShade="D9"/>
          </w:tcPr>
          <w:p w:rsidR="00541241" w:rsidRPr="009245CE" w:rsidRDefault="00541241" w:rsidP="009819AC">
            <w:pPr>
              <w:jc w:val="both"/>
              <w:rPr>
                <w:b/>
              </w:rPr>
            </w:pPr>
            <w:r>
              <w:rPr>
                <w:b/>
              </w:rPr>
              <w:t>First</w:t>
            </w:r>
            <w:r w:rsidRPr="009245CE">
              <w:rPr>
                <w:b/>
              </w:rPr>
              <w:t xml:space="preserve"> Monitoring Period:</w:t>
            </w:r>
          </w:p>
          <w:p w:rsidR="00541241" w:rsidRDefault="00541241" w:rsidP="009819AC">
            <w:pPr>
              <w:jc w:val="both"/>
            </w:pPr>
            <w:r w:rsidRPr="009245CE">
              <w:t>The data is not readily available at this time.</w:t>
            </w:r>
          </w:p>
        </w:tc>
      </w:tr>
      <w:tr w:rsidR="00541241" w:rsidRPr="009819AC" w:rsidTr="00541241">
        <w:tc>
          <w:tcPr>
            <w:tcW w:w="1516" w:type="dxa"/>
            <w:vMerge/>
            <w:shd w:val="clear" w:color="auto" w:fill="00B050"/>
          </w:tcPr>
          <w:p w:rsidR="00541241" w:rsidRPr="009819AC" w:rsidRDefault="00541241" w:rsidP="009819AC">
            <w:pPr>
              <w:jc w:val="both"/>
              <w:rPr>
                <w:b/>
              </w:rPr>
            </w:pPr>
          </w:p>
        </w:tc>
        <w:tc>
          <w:tcPr>
            <w:tcW w:w="7500" w:type="dxa"/>
          </w:tcPr>
          <w:p w:rsidR="00541241" w:rsidRPr="0033231E" w:rsidRDefault="00541241" w:rsidP="009819AC">
            <w:pPr>
              <w:jc w:val="both"/>
              <w:rPr>
                <w:b/>
              </w:rPr>
            </w:pPr>
            <w:r w:rsidRPr="0033231E">
              <w:rPr>
                <w:b/>
              </w:rPr>
              <w:t>Comment:</w:t>
            </w:r>
          </w:p>
          <w:p w:rsidR="00541241" w:rsidRPr="007426A0" w:rsidRDefault="007426A0" w:rsidP="005B498C">
            <w:pPr>
              <w:jc w:val="both"/>
            </w:pPr>
            <w:r w:rsidRPr="007426A0">
              <w:t>There has been</w:t>
            </w:r>
            <w:r w:rsidR="00541241" w:rsidRPr="007426A0">
              <w:t xml:space="preserve"> development granted planning permission within the period utilising Sustainable Drainage Systems. In consultation with the constituent drainage authority and Dwr Cymru Wel</w:t>
            </w:r>
            <w:r w:rsidRPr="007426A0">
              <w:t>sh Water,</w:t>
            </w:r>
            <w:r w:rsidR="00541241" w:rsidRPr="007426A0">
              <w:t xml:space="preserve"> other means of t</w:t>
            </w:r>
            <w:r w:rsidRPr="007426A0">
              <w:t>he disposal of surface water is considered in cases where SUDS aren’t possible</w:t>
            </w:r>
            <w:r w:rsidR="00541241" w:rsidRPr="007426A0">
              <w:t>.</w:t>
            </w:r>
          </w:p>
          <w:p w:rsidR="00541241" w:rsidRPr="007426A0" w:rsidRDefault="00541241" w:rsidP="005B498C">
            <w:pPr>
              <w:jc w:val="both"/>
            </w:pPr>
          </w:p>
          <w:p w:rsidR="00541241" w:rsidRPr="007426A0" w:rsidRDefault="00541241" w:rsidP="005148A6">
            <w:pPr>
              <w:jc w:val="both"/>
            </w:pPr>
            <w:r w:rsidRPr="007426A0">
              <w:t xml:space="preserve">It is advocated in </w:t>
            </w:r>
            <w:r w:rsidRPr="007426A0">
              <w:rPr>
                <w:i/>
              </w:rPr>
              <w:t>Technical Advice Note 12: Design</w:t>
            </w:r>
            <w:r w:rsidRPr="007426A0">
              <w:t xml:space="preserve"> that criteria for development layout and approaches that can be included within a design could include sustainable drainage measures through layout and design features which enable the consequences of flooding to be acceptably managed.  </w:t>
            </w:r>
          </w:p>
          <w:p w:rsidR="00541241" w:rsidRPr="007426A0" w:rsidRDefault="00541241" w:rsidP="005148A6">
            <w:pPr>
              <w:jc w:val="both"/>
            </w:pPr>
          </w:p>
          <w:p w:rsidR="00541241" w:rsidRPr="007426A0" w:rsidRDefault="00541241" w:rsidP="005148A6">
            <w:pPr>
              <w:jc w:val="both"/>
            </w:pPr>
            <w:r w:rsidRPr="007426A0">
              <w:t xml:space="preserve">An appropriate way of justifying the appropriate means of dealing with surface water would be within an accompanying Design and Access Statement.  However, the secondary legislation arising from the Planning (Wales) Act 2015 has determined that a DAS is no longer required for planning applications unless they fall within the ‘Major’ category (i.e. 10 dwellings or more).  </w:t>
            </w:r>
          </w:p>
          <w:p w:rsidR="00541241" w:rsidRPr="007426A0" w:rsidRDefault="00541241" w:rsidP="005148A6">
            <w:pPr>
              <w:jc w:val="both"/>
            </w:pPr>
          </w:p>
          <w:p w:rsidR="00AB1478" w:rsidRPr="00D369F9" w:rsidRDefault="00541241" w:rsidP="005B498C">
            <w:pPr>
              <w:jc w:val="both"/>
            </w:pPr>
            <w:r w:rsidRPr="007426A0">
              <w:t>On the basis that relevant minor applications will be determined in consultation with the relevant drainage authority and DCWW in any event, it is considered that Figure 26 above provides an appropriate indicator for monitoring this issue.  Accordingly, it is recommended that Figure 36 will continue to be monitored, but specifically in relation to major applications where a DAS has been submitted addressing, amongst other matters, sustainable drainage.</w:t>
            </w:r>
          </w:p>
        </w:tc>
      </w:tr>
      <w:tr w:rsidR="00541241" w:rsidRPr="009819AC" w:rsidTr="00541241">
        <w:tc>
          <w:tcPr>
            <w:tcW w:w="1516" w:type="dxa"/>
            <w:vMerge/>
            <w:shd w:val="clear" w:color="auto" w:fill="00B050"/>
          </w:tcPr>
          <w:p w:rsidR="00541241" w:rsidRPr="009819AC" w:rsidRDefault="00541241" w:rsidP="009819AC">
            <w:pPr>
              <w:jc w:val="both"/>
              <w:rPr>
                <w:b/>
              </w:rPr>
            </w:pPr>
          </w:p>
        </w:tc>
        <w:tc>
          <w:tcPr>
            <w:tcW w:w="7500" w:type="dxa"/>
          </w:tcPr>
          <w:p w:rsidR="00541241" w:rsidRPr="00B504AA" w:rsidRDefault="00541241" w:rsidP="009819AC">
            <w:pPr>
              <w:jc w:val="both"/>
              <w:rPr>
                <w:b/>
              </w:rPr>
            </w:pPr>
            <w:r w:rsidRPr="00B504AA">
              <w:rPr>
                <w:b/>
              </w:rPr>
              <w:t>Recommendation:</w:t>
            </w:r>
          </w:p>
          <w:p w:rsidR="00541241" w:rsidRPr="00B504AA" w:rsidRDefault="00541241" w:rsidP="009819AC">
            <w:pPr>
              <w:jc w:val="both"/>
              <w:rPr>
                <w:highlight w:val="red"/>
              </w:rPr>
            </w:pPr>
            <w:r>
              <w:t xml:space="preserve">This is </w:t>
            </w:r>
            <w:r w:rsidRPr="00D369F9">
              <w:t>considered to be an important indicator and will continue to be monitored</w:t>
            </w:r>
            <w:r>
              <w:t xml:space="preserve"> in relation to major planning applications</w:t>
            </w:r>
            <w:r w:rsidRPr="00D369F9">
              <w:t>.</w:t>
            </w:r>
          </w:p>
        </w:tc>
      </w:tr>
    </w:tbl>
    <w:p w:rsidR="00F65E5F" w:rsidRDefault="00F65E5F" w:rsidP="00F65E5F">
      <w:pPr>
        <w:jc w:val="both"/>
        <w:rPr>
          <w:b/>
        </w:rPr>
      </w:pPr>
    </w:p>
    <w:p w:rsidR="00F65E5F" w:rsidRDefault="004668D1" w:rsidP="002D73AC">
      <w:pPr>
        <w:jc w:val="both"/>
        <w:rPr>
          <w:b/>
          <w:sz w:val="24"/>
          <w:szCs w:val="24"/>
        </w:rPr>
      </w:pPr>
      <w:r w:rsidRPr="002D73AC">
        <w:rPr>
          <w:b/>
          <w:sz w:val="24"/>
          <w:szCs w:val="24"/>
        </w:rPr>
        <w:t>Waste</w:t>
      </w:r>
    </w:p>
    <w:p w:rsidR="00855D5C" w:rsidRPr="00855D5C" w:rsidRDefault="00855D5C" w:rsidP="002D73AC">
      <w:pPr>
        <w:jc w:val="both"/>
        <w:rPr>
          <w:b/>
        </w:rPr>
      </w:pPr>
      <w:r w:rsidRPr="00855D5C">
        <w:rPr>
          <w:b/>
        </w:rPr>
        <w:t>Figure 37</w:t>
      </w:r>
    </w:p>
    <w:tbl>
      <w:tblPr>
        <w:tblStyle w:val="TableGrid"/>
        <w:tblW w:w="0" w:type="auto"/>
        <w:tblLook w:val="04A0" w:firstRow="1" w:lastRow="0" w:firstColumn="1" w:lastColumn="0" w:noHBand="0" w:noVBand="1"/>
      </w:tblPr>
      <w:tblGrid>
        <w:gridCol w:w="1511"/>
        <w:gridCol w:w="7505"/>
      </w:tblGrid>
      <w:tr w:rsidR="00B504AA" w:rsidRPr="009819AC" w:rsidTr="00541241">
        <w:tc>
          <w:tcPr>
            <w:tcW w:w="9016" w:type="dxa"/>
            <w:gridSpan w:val="2"/>
            <w:shd w:val="clear" w:color="auto" w:fill="4BACC6" w:themeFill="accent5"/>
          </w:tcPr>
          <w:p w:rsidR="00B504AA" w:rsidRPr="00B504AA" w:rsidRDefault="00B504AA" w:rsidP="009819AC">
            <w:pPr>
              <w:jc w:val="both"/>
              <w:rPr>
                <w:b/>
              </w:rPr>
            </w:pPr>
            <w:r w:rsidRPr="00B504AA">
              <w:rPr>
                <w:b/>
              </w:rPr>
              <w:t>Amount of vacant units within the identified B Class sites suitable to accommodate a local waste facility</w:t>
            </w:r>
          </w:p>
        </w:tc>
      </w:tr>
      <w:tr w:rsidR="00541241" w:rsidRPr="009819AC" w:rsidTr="008446ED">
        <w:tc>
          <w:tcPr>
            <w:tcW w:w="1511" w:type="dxa"/>
            <w:vMerge w:val="restart"/>
            <w:shd w:val="clear" w:color="auto" w:fill="00B050"/>
          </w:tcPr>
          <w:p w:rsidR="00541241" w:rsidRDefault="00541241" w:rsidP="0023380D">
            <w:pPr>
              <w:jc w:val="center"/>
              <w:rPr>
                <w:b/>
              </w:rPr>
            </w:pPr>
            <w:r>
              <w:rPr>
                <w:b/>
              </w:rPr>
              <w:t>Continue Monitoring</w:t>
            </w:r>
          </w:p>
        </w:tc>
        <w:tc>
          <w:tcPr>
            <w:tcW w:w="7505" w:type="dxa"/>
            <w:shd w:val="clear" w:color="auto" w:fill="00B050"/>
          </w:tcPr>
          <w:p w:rsidR="006B4EB4" w:rsidRPr="008446ED" w:rsidRDefault="006B4EB4" w:rsidP="006B4EB4">
            <w:pPr>
              <w:jc w:val="both"/>
              <w:rPr>
                <w:b/>
              </w:rPr>
            </w:pPr>
            <w:r w:rsidRPr="008446ED">
              <w:rPr>
                <w:b/>
              </w:rPr>
              <w:t>Third Monitoring Period</w:t>
            </w:r>
          </w:p>
          <w:p w:rsidR="006B4EB4" w:rsidRPr="008446ED" w:rsidRDefault="00BA6B10" w:rsidP="006B4EB4">
            <w:pPr>
              <w:jc w:val="both"/>
            </w:pPr>
            <w:r w:rsidRPr="008446ED">
              <w:t>2 vacant units</w:t>
            </w:r>
            <w:r w:rsidR="00F131A3" w:rsidRPr="008446ED">
              <w:t xml:space="preserve"> in Ffrw</w:t>
            </w:r>
            <w:r w:rsidRPr="008446ED">
              <w:t>dgrech Industrial Estate, Brecon (total of 417.4</w:t>
            </w:r>
            <w:r w:rsidR="006B4EB4" w:rsidRPr="008446ED">
              <w:t xml:space="preserve"> m2)</w:t>
            </w:r>
          </w:p>
          <w:p w:rsidR="00541241" w:rsidRPr="00BA6B10" w:rsidRDefault="00BA6B10" w:rsidP="00BA6B10">
            <w:pPr>
              <w:tabs>
                <w:tab w:val="right" w:pos="7284"/>
              </w:tabs>
              <w:jc w:val="both"/>
              <w:rPr>
                <w:highlight w:val="yellow"/>
              </w:rPr>
            </w:pPr>
            <w:r w:rsidRPr="008446ED">
              <w:t>2</w:t>
            </w:r>
            <w:r w:rsidR="006B4EB4" w:rsidRPr="008446ED">
              <w:t xml:space="preserve"> vacant units Granada Pa</w:t>
            </w:r>
            <w:r w:rsidRPr="008446ED">
              <w:t>rk Crickhowell, (total of 258.3 m2)</w:t>
            </w:r>
            <w:r w:rsidRPr="008446ED">
              <w:tab/>
            </w:r>
          </w:p>
        </w:tc>
      </w:tr>
      <w:tr w:rsidR="00541241" w:rsidRPr="009819AC" w:rsidTr="008446ED">
        <w:tc>
          <w:tcPr>
            <w:tcW w:w="1511" w:type="dxa"/>
            <w:vMerge/>
            <w:shd w:val="clear" w:color="auto" w:fill="00B050"/>
          </w:tcPr>
          <w:p w:rsidR="00541241" w:rsidRPr="009819AC" w:rsidRDefault="00541241" w:rsidP="0023380D">
            <w:pPr>
              <w:jc w:val="center"/>
              <w:rPr>
                <w:b/>
              </w:rPr>
            </w:pPr>
          </w:p>
        </w:tc>
        <w:tc>
          <w:tcPr>
            <w:tcW w:w="7505" w:type="dxa"/>
            <w:shd w:val="clear" w:color="auto" w:fill="BFBFBF" w:themeFill="background1" w:themeFillShade="BF"/>
          </w:tcPr>
          <w:p w:rsidR="006445B5" w:rsidRPr="006445B5" w:rsidRDefault="006445B5" w:rsidP="009819AC">
            <w:pPr>
              <w:jc w:val="both"/>
              <w:rPr>
                <w:b/>
              </w:rPr>
            </w:pPr>
            <w:r w:rsidRPr="006445B5">
              <w:rPr>
                <w:b/>
              </w:rPr>
              <w:t>Second Monitoring Period</w:t>
            </w:r>
          </w:p>
          <w:p w:rsidR="00541241" w:rsidRPr="003601A4" w:rsidRDefault="00541241" w:rsidP="009819AC">
            <w:pPr>
              <w:jc w:val="both"/>
            </w:pPr>
            <w:r w:rsidRPr="003601A4">
              <w:lastRenderedPageBreak/>
              <w:t>0.5Ha Vacant Land Brecon</w:t>
            </w:r>
            <w:r>
              <w:t xml:space="preserve"> and 5 vacant units (total of 540.3 m2)</w:t>
            </w:r>
          </w:p>
          <w:p w:rsidR="00541241" w:rsidRPr="003601A4" w:rsidRDefault="00541241" w:rsidP="009819AC">
            <w:pPr>
              <w:jc w:val="both"/>
            </w:pPr>
            <w:r w:rsidRPr="003601A4">
              <w:t>0.1Ha Vacant Land Talgarth and 1 unit (</w:t>
            </w:r>
            <w:r>
              <w:t>324.8</w:t>
            </w:r>
            <w:r w:rsidRPr="003601A4">
              <w:t xml:space="preserve">m2) </w:t>
            </w:r>
          </w:p>
          <w:p w:rsidR="00541241" w:rsidRPr="003601A4" w:rsidRDefault="00541241" w:rsidP="00541241">
            <w:pPr>
              <w:tabs>
                <w:tab w:val="right" w:pos="7284"/>
              </w:tabs>
              <w:jc w:val="both"/>
            </w:pPr>
            <w:r>
              <w:t>20</w:t>
            </w:r>
            <w:r w:rsidRPr="003601A4">
              <w:t xml:space="preserve"> vacant units Granada</w:t>
            </w:r>
            <w:r>
              <w:t xml:space="preserve"> Park Crickhowell, (total of 0.27Ha</w:t>
            </w:r>
            <w:r w:rsidRPr="003601A4">
              <w:t>)</w:t>
            </w:r>
            <w:r>
              <w:tab/>
            </w:r>
          </w:p>
          <w:p w:rsidR="00541241" w:rsidRPr="009819AC" w:rsidRDefault="00541241" w:rsidP="00541241">
            <w:pPr>
              <w:tabs>
                <w:tab w:val="right" w:pos="7285"/>
              </w:tabs>
              <w:jc w:val="both"/>
              <w:rPr>
                <w:b/>
              </w:rPr>
            </w:pPr>
            <w:r w:rsidRPr="007724DC">
              <w:t>1 vacant unit Forest Road Hay</w:t>
            </w:r>
            <w:r>
              <w:rPr>
                <w:b/>
              </w:rPr>
              <w:t xml:space="preserve"> </w:t>
            </w:r>
            <w:r w:rsidRPr="007724DC">
              <w:t>(</w:t>
            </w:r>
            <w:r>
              <w:t>101.71m2)</w:t>
            </w:r>
            <w:r>
              <w:tab/>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shd w:val="clear" w:color="auto" w:fill="D9D9D9" w:themeFill="background1" w:themeFillShade="D9"/>
          </w:tcPr>
          <w:p w:rsidR="00541241" w:rsidRPr="00D369F9" w:rsidRDefault="006445B5" w:rsidP="00D369F9">
            <w:pPr>
              <w:jc w:val="both"/>
              <w:rPr>
                <w:b/>
              </w:rPr>
            </w:pPr>
            <w:r>
              <w:rPr>
                <w:b/>
              </w:rPr>
              <w:t>First</w:t>
            </w:r>
            <w:r w:rsidR="00541241" w:rsidRPr="00D369F9">
              <w:rPr>
                <w:b/>
              </w:rPr>
              <w:t xml:space="preserve"> Monitoring Period:</w:t>
            </w:r>
          </w:p>
          <w:p w:rsidR="00541241" w:rsidRPr="003601A4" w:rsidRDefault="00541241" w:rsidP="00D369F9">
            <w:pPr>
              <w:jc w:val="both"/>
            </w:pPr>
            <w:r w:rsidRPr="003601A4">
              <w:t>0.5Ha Vacant Land Brecon</w:t>
            </w:r>
          </w:p>
          <w:p w:rsidR="00541241" w:rsidRPr="003601A4" w:rsidRDefault="00541241" w:rsidP="00D369F9">
            <w:pPr>
              <w:jc w:val="both"/>
            </w:pPr>
            <w:r w:rsidRPr="003601A4">
              <w:t xml:space="preserve">0.1Ha Vacant Land Talgarth and 1 unit (316m2) </w:t>
            </w:r>
          </w:p>
          <w:p w:rsidR="00541241" w:rsidRPr="003601A4" w:rsidRDefault="00541241" w:rsidP="00D369F9">
            <w:pPr>
              <w:jc w:val="both"/>
            </w:pPr>
            <w:r w:rsidRPr="003601A4">
              <w:t>6 vacant units Granada Par</w:t>
            </w:r>
            <w:r>
              <w:t>k Crickhowell, total of( 758m2)</w:t>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tcPr>
          <w:p w:rsidR="00541241" w:rsidRPr="00B504AA" w:rsidRDefault="00541241" w:rsidP="009819AC">
            <w:pPr>
              <w:jc w:val="both"/>
              <w:rPr>
                <w:b/>
              </w:rPr>
            </w:pPr>
            <w:r w:rsidRPr="00B504AA">
              <w:rPr>
                <w:b/>
              </w:rPr>
              <w:t>Comments:</w:t>
            </w:r>
          </w:p>
          <w:p w:rsidR="00541241" w:rsidRPr="003601A4" w:rsidRDefault="00541241" w:rsidP="00195031">
            <w:pPr>
              <w:jc w:val="both"/>
            </w:pPr>
            <w:r>
              <w:t>It should be noted that the vacant land identified within Brecon has been subject to a planning permission for the development of a new B1 unit which was granted planning permission on the 12</w:t>
            </w:r>
            <w:r w:rsidRPr="00195031">
              <w:rPr>
                <w:vertAlign w:val="superscript"/>
              </w:rPr>
              <w:t>th</w:t>
            </w:r>
            <w:r>
              <w:t xml:space="preserve"> April 2016.  Development has commenced on this site and, consequently, this land will not be ‘available’ to accommodate a local waste facility next year.</w:t>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tcPr>
          <w:p w:rsidR="00541241" w:rsidRPr="00EC084D" w:rsidRDefault="00541241" w:rsidP="00B504AA">
            <w:pPr>
              <w:jc w:val="both"/>
              <w:rPr>
                <w:b/>
              </w:rPr>
            </w:pPr>
            <w:r w:rsidRPr="00EC084D">
              <w:rPr>
                <w:b/>
              </w:rPr>
              <w:t>Recommendation:</w:t>
            </w:r>
          </w:p>
          <w:p w:rsidR="00541241" w:rsidRPr="003601A4" w:rsidRDefault="00541241" w:rsidP="00B504AA">
            <w:pPr>
              <w:jc w:val="both"/>
            </w:pPr>
            <w:r w:rsidRPr="00D369F9">
              <w:t>The requirement of this indicator is being met.  It is, however, considered to be an important indicator and will continue to be monitored.</w:t>
            </w:r>
          </w:p>
        </w:tc>
      </w:tr>
    </w:tbl>
    <w:p w:rsidR="00F65E5F" w:rsidRDefault="00F65E5F" w:rsidP="00743B21">
      <w:pPr>
        <w:jc w:val="both"/>
        <w:rPr>
          <w:b/>
          <w:i/>
        </w:rPr>
      </w:pPr>
    </w:p>
    <w:p w:rsidR="00855D5C" w:rsidRPr="00855D5C" w:rsidRDefault="00855D5C" w:rsidP="00743B21">
      <w:pPr>
        <w:jc w:val="both"/>
        <w:rPr>
          <w:b/>
        </w:rPr>
      </w:pPr>
      <w:r>
        <w:rPr>
          <w:b/>
        </w:rPr>
        <w:t>Figure 38</w:t>
      </w:r>
    </w:p>
    <w:tbl>
      <w:tblPr>
        <w:tblStyle w:val="TableGrid"/>
        <w:tblW w:w="0" w:type="auto"/>
        <w:tblLook w:val="04A0" w:firstRow="1" w:lastRow="0" w:firstColumn="1" w:lastColumn="0" w:noHBand="0" w:noVBand="1"/>
      </w:tblPr>
      <w:tblGrid>
        <w:gridCol w:w="1516"/>
        <w:gridCol w:w="7500"/>
      </w:tblGrid>
      <w:tr w:rsidR="00743B21" w:rsidRPr="009819AC" w:rsidTr="006445B5">
        <w:tc>
          <w:tcPr>
            <w:tcW w:w="9016" w:type="dxa"/>
            <w:gridSpan w:val="2"/>
            <w:shd w:val="clear" w:color="auto" w:fill="4BACC6" w:themeFill="accent5"/>
          </w:tcPr>
          <w:p w:rsidR="00743B21" w:rsidRPr="00743B21" w:rsidRDefault="00743B21" w:rsidP="009819AC">
            <w:pPr>
              <w:jc w:val="both"/>
            </w:pPr>
            <w:r w:rsidRPr="00743B21">
              <w:rPr>
                <w:b/>
              </w:rPr>
              <w:t>Number of new licensed waste management facilities permitted</w:t>
            </w:r>
          </w:p>
        </w:tc>
      </w:tr>
      <w:tr w:rsidR="006445B5" w:rsidRPr="009819AC" w:rsidTr="008446ED">
        <w:tc>
          <w:tcPr>
            <w:tcW w:w="1516" w:type="dxa"/>
            <w:vMerge w:val="restart"/>
            <w:shd w:val="clear" w:color="auto" w:fill="00B050"/>
          </w:tcPr>
          <w:p w:rsidR="006445B5" w:rsidRDefault="006445B5" w:rsidP="0023380D">
            <w:pPr>
              <w:jc w:val="center"/>
              <w:rPr>
                <w:b/>
              </w:rPr>
            </w:pPr>
            <w:r>
              <w:rPr>
                <w:b/>
              </w:rPr>
              <w:t>Continue Monitoring</w:t>
            </w:r>
          </w:p>
        </w:tc>
        <w:tc>
          <w:tcPr>
            <w:tcW w:w="7500" w:type="dxa"/>
            <w:shd w:val="clear" w:color="auto" w:fill="00B050"/>
          </w:tcPr>
          <w:p w:rsidR="00F84EB1" w:rsidRPr="008446ED" w:rsidRDefault="00F84EB1" w:rsidP="00F84EB1">
            <w:pPr>
              <w:jc w:val="both"/>
              <w:rPr>
                <w:b/>
              </w:rPr>
            </w:pPr>
            <w:r w:rsidRPr="008446ED">
              <w:rPr>
                <w:b/>
              </w:rPr>
              <w:t>Third Monitoring Period</w:t>
            </w:r>
          </w:p>
          <w:p w:rsidR="006445B5" w:rsidRPr="003601A4" w:rsidRDefault="00F84EB1" w:rsidP="00F84EB1">
            <w:pPr>
              <w:jc w:val="both"/>
            </w:pPr>
            <w:r w:rsidRPr="008446ED">
              <w:t>No permissions granted within the period for new waste management facilities.</w:t>
            </w:r>
          </w:p>
        </w:tc>
      </w:tr>
      <w:tr w:rsidR="006445B5" w:rsidRPr="009819AC" w:rsidTr="008446ED">
        <w:tc>
          <w:tcPr>
            <w:tcW w:w="1516" w:type="dxa"/>
            <w:vMerge/>
            <w:shd w:val="clear" w:color="auto" w:fill="00B050"/>
          </w:tcPr>
          <w:p w:rsidR="006445B5" w:rsidRPr="009819AC" w:rsidRDefault="006445B5" w:rsidP="0023380D">
            <w:pPr>
              <w:jc w:val="center"/>
              <w:rPr>
                <w:b/>
              </w:rPr>
            </w:pPr>
          </w:p>
        </w:tc>
        <w:tc>
          <w:tcPr>
            <w:tcW w:w="7500" w:type="dxa"/>
            <w:shd w:val="clear" w:color="auto" w:fill="BFBFBF" w:themeFill="background1" w:themeFillShade="BF"/>
          </w:tcPr>
          <w:p w:rsidR="006445B5" w:rsidRPr="006445B5" w:rsidRDefault="006445B5" w:rsidP="009819AC">
            <w:pPr>
              <w:jc w:val="both"/>
              <w:rPr>
                <w:b/>
              </w:rPr>
            </w:pPr>
            <w:r w:rsidRPr="006445B5">
              <w:rPr>
                <w:b/>
              </w:rPr>
              <w:t>Second Monitoring Period</w:t>
            </w:r>
          </w:p>
          <w:p w:rsidR="006445B5" w:rsidRPr="003601A4" w:rsidRDefault="006445B5" w:rsidP="009819AC">
            <w:pPr>
              <w:jc w:val="both"/>
            </w:pPr>
            <w:r w:rsidRPr="003601A4">
              <w:t>No permissions granted within the period for new waste management facilities.</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shd w:val="clear" w:color="auto" w:fill="D9D9D9" w:themeFill="background1" w:themeFillShade="D9"/>
          </w:tcPr>
          <w:p w:rsidR="006445B5" w:rsidRPr="00D369F9" w:rsidRDefault="006445B5" w:rsidP="009819AC">
            <w:pPr>
              <w:jc w:val="both"/>
              <w:rPr>
                <w:b/>
              </w:rPr>
            </w:pPr>
            <w:r>
              <w:rPr>
                <w:b/>
              </w:rPr>
              <w:t>First</w:t>
            </w:r>
            <w:r w:rsidRPr="00D369F9">
              <w:rPr>
                <w:b/>
              </w:rPr>
              <w:t xml:space="preserve"> Monitoring Period:</w:t>
            </w:r>
          </w:p>
          <w:p w:rsidR="006445B5" w:rsidRPr="003601A4" w:rsidRDefault="006445B5" w:rsidP="009819AC">
            <w:pPr>
              <w:jc w:val="both"/>
            </w:pPr>
            <w:r w:rsidRPr="00756639">
              <w:t>No permissions granted within the period for new waste management facilities.</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tcPr>
          <w:p w:rsidR="006445B5" w:rsidRPr="00743B21" w:rsidRDefault="006445B5" w:rsidP="009819AC">
            <w:pPr>
              <w:jc w:val="both"/>
              <w:rPr>
                <w:b/>
              </w:rPr>
            </w:pPr>
            <w:r w:rsidRPr="00743B21">
              <w:rPr>
                <w:b/>
              </w:rPr>
              <w:t>Comments:</w:t>
            </w:r>
          </w:p>
          <w:p w:rsidR="006445B5" w:rsidRPr="003601A4" w:rsidRDefault="006445B5" w:rsidP="009819AC">
            <w:pPr>
              <w:jc w:val="both"/>
            </w:pPr>
            <w:r>
              <w:t>The Authority will make contact with Constituent Unitary Authorities to enquire whether any consents have been issued beyond the boundary that would cater for National Park residents’ requirements.</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tcPr>
          <w:p w:rsidR="006445B5" w:rsidRDefault="006445B5" w:rsidP="00743B21">
            <w:pPr>
              <w:jc w:val="both"/>
              <w:rPr>
                <w:b/>
              </w:rPr>
            </w:pPr>
            <w:r>
              <w:rPr>
                <w:b/>
              </w:rPr>
              <w:t>Recommendation:</w:t>
            </w:r>
          </w:p>
          <w:p w:rsidR="006445B5" w:rsidRPr="003601A4" w:rsidRDefault="006445B5" w:rsidP="00743B21">
            <w:pPr>
              <w:jc w:val="both"/>
            </w:pPr>
            <w:r w:rsidRPr="0023380D">
              <w:t>This indicator wil</w:t>
            </w:r>
            <w:r>
              <w:t>l be monitored for a further year</w:t>
            </w:r>
            <w:r w:rsidRPr="0023380D">
              <w:t xml:space="preserve"> until 2017.</w:t>
            </w:r>
          </w:p>
        </w:tc>
      </w:tr>
    </w:tbl>
    <w:p w:rsidR="0023380D" w:rsidRPr="00F65E5F" w:rsidRDefault="0023380D" w:rsidP="00F65E5F">
      <w:pPr>
        <w:jc w:val="both"/>
        <w:rPr>
          <w:b/>
        </w:rPr>
      </w:pPr>
    </w:p>
    <w:p w:rsidR="00F65E5F" w:rsidRDefault="004668D1" w:rsidP="002D73AC">
      <w:pPr>
        <w:jc w:val="both"/>
        <w:rPr>
          <w:b/>
          <w:sz w:val="24"/>
          <w:szCs w:val="24"/>
        </w:rPr>
      </w:pPr>
      <w:r w:rsidRPr="002D73AC">
        <w:rPr>
          <w:b/>
          <w:sz w:val="24"/>
          <w:szCs w:val="24"/>
        </w:rPr>
        <w:t>Minerals</w:t>
      </w:r>
    </w:p>
    <w:p w:rsidR="00855D5C" w:rsidRPr="00855D5C" w:rsidRDefault="00855D5C" w:rsidP="002D73AC">
      <w:pPr>
        <w:jc w:val="both"/>
        <w:rPr>
          <w:b/>
        </w:rPr>
      </w:pPr>
      <w:r>
        <w:rPr>
          <w:b/>
        </w:rPr>
        <w:t>Figure 39</w:t>
      </w:r>
    </w:p>
    <w:tbl>
      <w:tblPr>
        <w:tblStyle w:val="TableGrid"/>
        <w:tblW w:w="0" w:type="auto"/>
        <w:tblLook w:val="04A0" w:firstRow="1" w:lastRow="0" w:firstColumn="1" w:lastColumn="0" w:noHBand="0" w:noVBand="1"/>
      </w:tblPr>
      <w:tblGrid>
        <w:gridCol w:w="1516"/>
        <w:gridCol w:w="7500"/>
      </w:tblGrid>
      <w:tr w:rsidR="009D75FB" w:rsidRPr="009819AC" w:rsidTr="006445B5">
        <w:tc>
          <w:tcPr>
            <w:tcW w:w="9016" w:type="dxa"/>
            <w:gridSpan w:val="2"/>
            <w:shd w:val="clear" w:color="auto" w:fill="4BACC6" w:themeFill="accent5"/>
          </w:tcPr>
          <w:p w:rsidR="009D75FB" w:rsidRPr="009D75FB" w:rsidRDefault="009D75FB" w:rsidP="009819AC">
            <w:pPr>
              <w:jc w:val="both"/>
            </w:pPr>
            <w:r w:rsidRPr="009D75FB">
              <w:rPr>
                <w:b/>
              </w:rPr>
              <w:t>Number of consents for permanent, sterilising development within a minerals safeguarding area</w:t>
            </w:r>
          </w:p>
        </w:tc>
      </w:tr>
      <w:tr w:rsidR="006445B5" w:rsidRPr="009819AC" w:rsidTr="008446ED">
        <w:tc>
          <w:tcPr>
            <w:tcW w:w="1516" w:type="dxa"/>
            <w:vMerge w:val="restart"/>
            <w:shd w:val="clear" w:color="auto" w:fill="00B050"/>
          </w:tcPr>
          <w:p w:rsidR="006445B5" w:rsidRDefault="006445B5" w:rsidP="00060F14">
            <w:pPr>
              <w:jc w:val="center"/>
              <w:rPr>
                <w:b/>
              </w:rPr>
            </w:pPr>
            <w:r>
              <w:rPr>
                <w:b/>
              </w:rPr>
              <w:lastRenderedPageBreak/>
              <w:t>Continue Monitoring</w:t>
            </w:r>
          </w:p>
        </w:tc>
        <w:tc>
          <w:tcPr>
            <w:tcW w:w="7500" w:type="dxa"/>
            <w:shd w:val="clear" w:color="auto" w:fill="00B050"/>
          </w:tcPr>
          <w:p w:rsidR="00F84EB1" w:rsidRPr="008446ED" w:rsidRDefault="00F84EB1" w:rsidP="00F84EB1">
            <w:pPr>
              <w:jc w:val="both"/>
              <w:rPr>
                <w:b/>
              </w:rPr>
            </w:pPr>
            <w:r w:rsidRPr="008446ED">
              <w:rPr>
                <w:b/>
              </w:rPr>
              <w:t>Third Monitoring Period</w:t>
            </w:r>
          </w:p>
          <w:p w:rsidR="006445B5" w:rsidRPr="001D724A" w:rsidRDefault="00F84EB1" w:rsidP="00F84EB1">
            <w:pPr>
              <w:jc w:val="both"/>
            </w:pPr>
            <w:r w:rsidRPr="008446ED">
              <w:t>No permanent sterilising development has been permitted within mineral safeguarding areas.</w:t>
            </w:r>
          </w:p>
        </w:tc>
      </w:tr>
      <w:tr w:rsidR="006445B5" w:rsidRPr="009819AC" w:rsidTr="008446ED">
        <w:tc>
          <w:tcPr>
            <w:tcW w:w="1516" w:type="dxa"/>
            <w:vMerge/>
            <w:shd w:val="clear" w:color="auto" w:fill="00B050"/>
          </w:tcPr>
          <w:p w:rsidR="006445B5" w:rsidRPr="009819AC" w:rsidRDefault="006445B5" w:rsidP="00060F14">
            <w:pPr>
              <w:jc w:val="center"/>
              <w:rPr>
                <w:b/>
              </w:rPr>
            </w:pPr>
          </w:p>
        </w:tc>
        <w:tc>
          <w:tcPr>
            <w:tcW w:w="7500" w:type="dxa"/>
            <w:shd w:val="clear" w:color="auto" w:fill="BFBFBF" w:themeFill="background1" w:themeFillShade="BF"/>
          </w:tcPr>
          <w:p w:rsidR="006445B5" w:rsidRPr="006445B5" w:rsidRDefault="006445B5" w:rsidP="009819AC">
            <w:pPr>
              <w:jc w:val="both"/>
              <w:rPr>
                <w:b/>
              </w:rPr>
            </w:pPr>
            <w:r w:rsidRPr="006445B5">
              <w:rPr>
                <w:b/>
              </w:rPr>
              <w:t>Second Monitoring Period</w:t>
            </w:r>
          </w:p>
          <w:p w:rsidR="006445B5" w:rsidRPr="001D724A" w:rsidRDefault="006445B5" w:rsidP="009819AC">
            <w:pPr>
              <w:jc w:val="both"/>
            </w:pPr>
            <w:r w:rsidRPr="001D724A">
              <w:t xml:space="preserve">No permanent sterilising development has been permitted within mineral safeguarding areas. </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shd w:val="clear" w:color="auto" w:fill="D9D9D9" w:themeFill="background1" w:themeFillShade="D9"/>
          </w:tcPr>
          <w:p w:rsidR="006445B5" w:rsidRPr="00756639" w:rsidRDefault="006445B5" w:rsidP="009819AC">
            <w:pPr>
              <w:jc w:val="both"/>
              <w:rPr>
                <w:b/>
              </w:rPr>
            </w:pPr>
            <w:r>
              <w:rPr>
                <w:b/>
              </w:rPr>
              <w:t>First</w:t>
            </w:r>
            <w:r w:rsidRPr="00756639">
              <w:rPr>
                <w:b/>
              </w:rPr>
              <w:t xml:space="preserve"> Monitoring Period:</w:t>
            </w:r>
          </w:p>
          <w:p w:rsidR="006445B5" w:rsidRPr="001D724A" w:rsidRDefault="006445B5" w:rsidP="009819AC">
            <w:pPr>
              <w:jc w:val="both"/>
            </w:pPr>
            <w:r w:rsidRPr="00756639">
              <w:t>No permanent sterilising development has been permitted within mineral safeguarding areas.</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tcPr>
          <w:p w:rsidR="006445B5" w:rsidRPr="009D75FB" w:rsidRDefault="006445B5" w:rsidP="009819AC">
            <w:pPr>
              <w:jc w:val="both"/>
              <w:rPr>
                <w:b/>
              </w:rPr>
            </w:pPr>
            <w:r w:rsidRPr="009D75FB">
              <w:rPr>
                <w:b/>
              </w:rPr>
              <w:t>Comments:</w:t>
            </w:r>
          </w:p>
          <w:p w:rsidR="006445B5" w:rsidRPr="001D724A" w:rsidRDefault="006445B5" w:rsidP="009819AC">
            <w:pPr>
              <w:jc w:val="both"/>
            </w:pPr>
            <w:r>
              <w:t>None.</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tcPr>
          <w:p w:rsidR="006445B5" w:rsidRDefault="006445B5" w:rsidP="009D75FB">
            <w:pPr>
              <w:jc w:val="both"/>
              <w:rPr>
                <w:b/>
              </w:rPr>
            </w:pPr>
            <w:r>
              <w:rPr>
                <w:b/>
              </w:rPr>
              <w:t>Recommendation:</w:t>
            </w:r>
          </w:p>
          <w:p w:rsidR="009442FD" w:rsidRPr="001D724A" w:rsidRDefault="006445B5" w:rsidP="009D75FB">
            <w:pPr>
              <w:jc w:val="both"/>
            </w:pPr>
            <w:r w:rsidRPr="00060F14">
              <w:t>The requirement of this indicator is being met.  It is, however, considered to be an important indicator and will continue to be monitored.</w:t>
            </w:r>
          </w:p>
        </w:tc>
      </w:tr>
    </w:tbl>
    <w:p w:rsidR="00060F14" w:rsidRPr="009819AC" w:rsidRDefault="00060F14" w:rsidP="009819AC">
      <w:pPr>
        <w:jc w:val="both"/>
        <w:rPr>
          <w:b/>
        </w:rPr>
      </w:pPr>
    </w:p>
    <w:p w:rsidR="004A6384" w:rsidRDefault="004A6384" w:rsidP="004A6384">
      <w:pPr>
        <w:jc w:val="both"/>
        <w:rPr>
          <w:b/>
          <w:sz w:val="24"/>
          <w:szCs w:val="24"/>
        </w:rPr>
      </w:pPr>
    </w:p>
    <w:p w:rsidR="00FB2B3B" w:rsidRPr="002D73AC" w:rsidRDefault="00FB2B3B" w:rsidP="004A6384">
      <w:pPr>
        <w:jc w:val="both"/>
        <w:rPr>
          <w:b/>
          <w:sz w:val="24"/>
          <w:szCs w:val="24"/>
          <w:u w:val="single"/>
        </w:rPr>
      </w:pPr>
      <w:r w:rsidRPr="002D73AC">
        <w:rPr>
          <w:b/>
          <w:sz w:val="24"/>
          <w:szCs w:val="24"/>
          <w:u w:val="single"/>
        </w:rPr>
        <w:t>Site Monitoring</w:t>
      </w:r>
    </w:p>
    <w:p w:rsidR="00855D5C" w:rsidRDefault="002D73AC" w:rsidP="004A6384">
      <w:pPr>
        <w:jc w:val="both"/>
      </w:pPr>
      <w:r w:rsidRPr="00AF4EE7">
        <w:t>As part of the A</w:t>
      </w:r>
      <w:r w:rsidR="002D5116">
        <w:t xml:space="preserve">nnual </w:t>
      </w:r>
      <w:r w:rsidRPr="00AF4EE7">
        <w:t>M</w:t>
      </w:r>
      <w:r w:rsidR="002D5116">
        <w:t xml:space="preserve">onitoring </w:t>
      </w:r>
      <w:r w:rsidRPr="00AF4EE7">
        <w:t>R</w:t>
      </w:r>
      <w:r w:rsidR="002D5116">
        <w:t>eport</w:t>
      </w:r>
      <w:r w:rsidRPr="00AF4EE7">
        <w:t xml:space="preserve"> process, the Authority has agreed to include an update on the progress and development of allocated sites.  The intention is to highlight the activity that has taken place, including the preparation of studies, applications and/or the progression of development.  Accordingly, the table set out below seeks to illustrate the progress of allocated sites against progress milestones:</w:t>
      </w:r>
    </w:p>
    <w:p w:rsidR="00855D5C" w:rsidRPr="00AF4EE7" w:rsidRDefault="00855D5C" w:rsidP="004A6384">
      <w:pPr>
        <w:jc w:val="both"/>
      </w:pPr>
    </w:p>
    <w:p w:rsidR="00972C95" w:rsidRPr="00855D5C" w:rsidRDefault="00855D5C" w:rsidP="004A6384">
      <w:pPr>
        <w:jc w:val="both"/>
        <w:rPr>
          <w:b/>
        </w:rPr>
      </w:pPr>
      <w:r w:rsidRPr="00855D5C">
        <w:rPr>
          <w:b/>
        </w:rPr>
        <w:t>Figure 41</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1559"/>
        <w:gridCol w:w="817"/>
        <w:gridCol w:w="1276"/>
        <w:gridCol w:w="1276"/>
        <w:gridCol w:w="236"/>
        <w:gridCol w:w="785"/>
        <w:gridCol w:w="850"/>
        <w:gridCol w:w="993"/>
        <w:gridCol w:w="1275"/>
      </w:tblGrid>
      <w:tr w:rsidR="00AE1734" w:rsidRPr="002D5116" w:rsidTr="00AE1734">
        <w:trPr>
          <w:tblHeader/>
        </w:trPr>
        <w:tc>
          <w:tcPr>
            <w:tcW w:w="1559" w:type="dxa"/>
            <w:shd w:val="clear" w:color="auto" w:fill="A6A6A6" w:themeFill="background1" w:themeFillShade="A6"/>
          </w:tcPr>
          <w:p w:rsidR="00AE1734" w:rsidRPr="002D5116" w:rsidRDefault="00AE1734" w:rsidP="00A27348">
            <w:pPr>
              <w:jc w:val="both"/>
              <w:rPr>
                <w:b/>
                <w:sz w:val="24"/>
                <w:szCs w:val="24"/>
              </w:rPr>
            </w:pPr>
            <w:r w:rsidRPr="002D5116">
              <w:rPr>
                <w:b/>
                <w:sz w:val="24"/>
                <w:szCs w:val="24"/>
              </w:rPr>
              <w:t>Site</w:t>
            </w:r>
          </w:p>
        </w:tc>
        <w:tc>
          <w:tcPr>
            <w:tcW w:w="817" w:type="dxa"/>
            <w:shd w:val="clear" w:color="auto" w:fill="A6A6A6" w:themeFill="background1" w:themeFillShade="A6"/>
          </w:tcPr>
          <w:p w:rsidR="00AE1734" w:rsidRPr="002D5116" w:rsidRDefault="00AE1734" w:rsidP="00A27348">
            <w:pPr>
              <w:jc w:val="both"/>
              <w:rPr>
                <w:b/>
                <w:sz w:val="18"/>
                <w:szCs w:val="18"/>
              </w:rPr>
            </w:pPr>
            <w:r>
              <w:rPr>
                <w:b/>
                <w:sz w:val="18"/>
                <w:szCs w:val="18"/>
              </w:rPr>
              <w:t>Indicative no. of units</w:t>
            </w:r>
          </w:p>
        </w:tc>
        <w:tc>
          <w:tcPr>
            <w:tcW w:w="1276"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Development Brief Submitted</w:t>
            </w:r>
          </w:p>
        </w:tc>
        <w:tc>
          <w:tcPr>
            <w:tcW w:w="1276"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Development Brief Agreed</w:t>
            </w:r>
          </w:p>
        </w:tc>
        <w:tc>
          <w:tcPr>
            <w:tcW w:w="236" w:type="dxa"/>
            <w:shd w:val="clear" w:color="auto" w:fill="000000" w:themeFill="text1"/>
          </w:tcPr>
          <w:p w:rsidR="00AE1734" w:rsidRPr="002D5116" w:rsidRDefault="00AE1734" w:rsidP="00A27348">
            <w:pPr>
              <w:jc w:val="both"/>
              <w:rPr>
                <w:b/>
                <w:sz w:val="18"/>
                <w:szCs w:val="18"/>
              </w:rPr>
            </w:pPr>
          </w:p>
        </w:tc>
        <w:tc>
          <w:tcPr>
            <w:tcW w:w="785"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Application Submitted</w:t>
            </w:r>
          </w:p>
        </w:tc>
        <w:tc>
          <w:tcPr>
            <w:tcW w:w="850"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Minded to Permit subject to S106</w:t>
            </w:r>
          </w:p>
        </w:tc>
        <w:tc>
          <w:tcPr>
            <w:tcW w:w="993"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Planning Consent</w:t>
            </w:r>
          </w:p>
        </w:tc>
        <w:tc>
          <w:tcPr>
            <w:tcW w:w="1275" w:type="dxa"/>
            <w:shd w:val="clear" w:color="auto" w:fill="A6A6A6" w:themeFill="background1" w:themeFillShade="A6"/>
          </w:tcPr>
          <w:p w:rsidR="00AE1734" w:rsidRPr="002D5116" w:rsidRDefault="00AE1734" w:rsidP="00A27348">
            <w:pPr>
              <w:jc w:val="both"/>
              <w:rPr>
                <w:b/>
                <w:sz w:val="18"/>
                <w:szCs w:val="18"/>
              </w:rPr>
            </w:pPr>
            <w:r w:rsidRPr="002D5116">
              <w:rPr>
                <w:b/>
                <w:sz w:val="18"/>
                <w:szCs w:val="18"/>
              </w:rPr>
              <w:t>Commenced Development</w:t>
            </w:r>
          </w:p>
        </w:tc>
      </w:tr>
      <w:tr w:rsidR="00AE1734" w:rsidRPr="002D5116" w:rsidTr="00AE1734">
        <w:trPr>
          <w:trHeight w:val="872"/>
        </w:trPr>
        <w:tc>
          <w:tcPr>
            <w:tcW w:w="9067" w:type="dxa"/>
            <w:gridSpan w:val="9"/>
            <w:shd w:val="clear" w:color="auto" w:fill="4BACC6" w:themeFill="accent5"/>
          </w:tcPr>
          <w:p w:rsidR="00AE1734" w:rsidRDefault="00AE1734" w:rsidP="00AE1734">
            <w:pPr>
              <w:jc w:val="center"/>
              <w:rPr>
                <w:sz w:val="24"/>
                <w:szCs w:val="24"/>
              </w:rPr>
            </w:pPr>
          </w:p>
          <w:p w:rsidR="00AE1734" w:rsidRPr="002D5116" w:rsidRDefault="00AE1734" w:rsidP="00AE1734">
            <w:pPr>
              <w:jc w:val="center"/>
              <w:rPr>
                <w:sz w:val="24"/>
                <w:szCs w:val="24"/>
              </w:rPr>
            </w:pPr>
            <w:r w:rsidRPr="002D5116">
              <w:rPr>
                <w:sz w:val="24"/>
                <w:szCs w:val="24"/>
              </w:rPr>
              <w:t>First 5 Years</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CS28 – Cwmffaldau Fields Extension, Brecon</w:t>
            </w:r>
          </w:p>
        </w:tc>
        <w:tc>
          <w:tcPr>
            <w:tcW w:w="817" w:type="dxa"/>
            <w:shd w:val="clear" w:color="auto" w:fill="FFFFFF" w:themeFill="background1"/>
          </w:tcPr>
          <w:p w:rsidR="00AE1734" w:rsidRPr="00AE1734" w:rsidRDefault="00AE1734" w:rsidP="00A27348">
            <w:pPr>
              <w:jc w:val="both"/>
            </w:pPr>
            <w:r w:rsidRPr="00AE1734">
              <w:t>66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rPr>
                <w:i/>
              </w:rPr>
            </w:pPr>
          </w:p>
        </w:tc>
        <w:tc>
          <w:tcPr>
            <w:tcW w:w="785" w:type="dxa"/>
            <w:shd w:val="clear" w:color="auto" w:fill="E5B8B7" w:themeFill="accent2" w:themeFillTint="66"/>
          </w:tcPr>
          <w:p w:rsidR="00AE1734" w:rsidRPr="00AE1734" w:rsidRDefault="00AE1734" w:rsidP="00A27348">
            <w:pPr>
              <w:jc w:val="both"/>
              <w:rPr>
                <w:i/>
              </w:rPr>
            </w:pPr>
            <w:r w:rsidRPr="00AE1734">
              <w:rPr>
                <w:i/>
              </w:rPr>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lastRenderedPageBreak/>
              <w:t>CS132 - Land Opposite High School, Brecon</w:t>
            </w:r>
          </w:p>
        </w:tc>
        <w:tc>
          <w:tcPr>
            <w:tcW w:w="817" w:type="dxa"/>
            <w:shd w:val="clear" w:color="auto" w:fill="FFFFFF" w:themeFill="background1"/>
          </w:tcPr>
          <w:p w:rsidR="00AE1734" w:rsidRPr="00AE1734" w:rsidRDefault="00AE1734" w:rsidP="00A27348">
            <w:pPr>
              <w:jc w:val="both"/>
            </w:pPr>
            <w:r w:rsidRPr="00AE1734">
              <w:t>30</w:t>
            </w:r>
          </w:p>
        </w:tc>
        <w:tc>
          <w:tcPr>
            <w:tcW w:w="1276" w:type="dxa"/>
            <w:shd w:val="clear" w:color="auto" w:fill="C2D69B" w:themeFill="accent3" w:themeFillTint="99"/>
          </w:tcPr>
          <w:p w:rsidR="00AE1734" w:rsidRPr="00AE1734" w:rsidRDefault="00AE1734" w:rsidP="00A27348">
            <w:pPr>
              <w:jc w:val="both"/>
            </w:pPr>
            <w:r w:rsidRPr="00AE1734">
              <w:t xml:space="preserve">Yes </w:t>
            </w:r>
          </w:p>
        </w:tc>
        <w:tc>
          <w:tcPr>
            <w:tcW w:w="1276" w:type="dxa"/>
            <w:shd w:val="clear" w:color="auto" w:fill="C2D69B" w:themeFill="accent3" w:themeFillTint="99"/>
          </w:tcPr>
          <w:p w:rsidR="00AE1734" w:rsidRPr="00AE1734" w:rsidRDefault="00AE1734" w:rsidP="00A27348">
            <w:pPr>
              <w:jc w:val="both"/>
            </w:pPr>
            <w:r w:rsidRPr="00AE1734">
              <w:t>Yes</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FF0000"/>
          </w:tcPr>
          <w:p w:rsidR="00AE1734" w:rsidRPr="00AE1734" w:rsidRDefault="00AE1734" w:rsidP="00A27348">
            <w:pPr>
              <w:jc w:val="both"/>
            </w:pPr>
            <w:r w:rsidRPr="00AE1734">
              <w:t>Refused</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SALT 061 – Land Adj to Llangenny Lane, Crickhowell</w:t>
            </w:r>
          </w:p>
        </w:tc>
        <w:tc>
          <w:tcPr>
            <w:tcW w:w="817" w:type="dxa"/>
            <w:shd w:val="clear" w:color="auto" w:fill="FFFFFF" w:themeFill="background1"/>
          </w:tcPr>
          <w:p w:rsidR="00AE1734" w:rsidRPr="00AE1734" w:rsidRDefault="00AE1734" w:rsidP="00A27348">
            <w:pPr>
              <w:jc w:val="both"/>
            </w:pPr>
            <w:r w:rsidRPr="00AE1734">
              <w:t>20</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C2D69B" w:themeFill="accent3" w:themeFillTint="99"/>
          </w:tcPr>
          <w:p w:rsidR="00AE1734" w:rsidRPr="00AE1734" w:rsidRDefault="00AE1734" w:rsidP="00A27348">
            <w:pPr>
              <w:jc w:val="both"/>
            </w:pPr>
            <w:r w:rsidRPr="00AE1734">
              <w:t>Yes</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DBR-HOW-A – Land Opposite the Meadows, Hay</w:t>
            </w:r>
          </w:p>
        </w:tc>
        <w:tc>
          <w:tcPr>
            <w:tcW w:w="817" w:type="dxa"/>
            <w:shd w:val="clear" w:color="auto" w:fill="FFFFFF" w:themeFill="background1"/>
          </w:tcPr>
          <w:p w:rsidR="00AE1734" w:rsidRPr="00AE1734" w:rsidRDefault="00AE1734" w:rsidP="00A27348">
            <w:pPr>
              <w:jc w:val="both"/>
            </w:pPr>
            <w:r w:rsidRPr="00AE1734">
              <w:t>62</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 xml:space="preserve">Yes </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C2D69B" w:themeFill="accent3" w:themeFillTint="99"/>
          </w:tcPr>
          <w:p w:rsidR="00AE1734" w:rsidRPr="00AE1734" w:rsidRDefault="00AE1734" w:rsidP="00A27348">
            <w:pPr>
              <w:jc w:val="both"/>
            </w:pPr>
            <w:r w:rsidRPr="00AE1734">
              <w:t>Yes</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SALT 059 – Land adj. Brecon Pharmaceuticals, Hay</w:t>
            </w:r>
          </w:p>
        </w:tc>
        <w:tc>
          <w:tcPr>
            <w:tcW w:w="817" w:type="dxa"/>
            <w:shd w:val="clear" w:color="auto" w:fill="FFFFFF" w:themeFill="background1"/>
          </w:tcPr>
          <w:p w:rsidR="00AE1734" w:rsidRPr="00AE1734" w:rsidRDefault="00AE1734" w:rsidP="00A27348">
            <w:pPr>
              <w:jc w:val="both"/>
            </w:pPr>
            <w:r w:rsidRPr="00AE1734">
              <w:t>5</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SALT 037 – Proposed extension to T9, Talgarth</w:t>
            </w:r>
          </w:p>
        </w:tc>
        <w:tc>
          <w:tcPr>
            <w:tcW w:w="817" w:type="dxa"/>
            <w:shd w:val="clear" w:color="auto" w:fill="FFFFFF" w:themeFill="background1"/>
          </w:tcPr>
          <w:p w:rsidR="00AE1734" w:rsidRPr="00AE1734" w:rsidRDefault="00AE1734" w:rsidP="00A27348">
            <w:pPr>
              <w:jc w:val="both"/>
            </w:pPr>
            <w:r w:rsidRPr="00AE1734">
              <w:t>15</w:t>
            </w:r>
          </w:p>
        </w:tc>
        <w:tc>
          <w:tcPr>
            <w:tcW w:w="1276" w:type="dxa"/>
            <w:shd w:val="clear" w:color="auto" w:fill="C2D69B" w:themeFill="accent3" w:themeFillTint="99"/>
          </w:tcPr>
          <w:p w:rsidR="00AE1734" w:rsidRPr="00AE1734" w:rsidRDefault="00AE1734" w:rsidP="00A27348">
            <w:pPr>
              <w:jc w:val="both"/>
            </w:pPr>
            <w:r w:rsidRPr="00AE1734">
              <w:t>Yes</w:t>
            </w:r>
          </w:p>
        </w:tc>
        <w:tc>
          <w:tcPr>
            <w:tcW w:w="1276" w:type="dxa"/>
            <w:shd w:val="clear" w:color="auto" w:fill="C2D69B" w:themeFill="accent3" w:themeFillTint="99"/>
          </w:tcPr>
          <w:p w:rsidR="00AE1734" w:rsidRPr="00AE1734" w:rsidRDefault="00AE1734" w:rsidP="00A27348">
            <w:pPr>
              <w:jc w:val="both"/>
            </w:pPr>
            <w:r w:rsidRPr="00AE1734">
              <w:t>Yes</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E5B8B7" w:themeFill="accent2" w:themeFillTint="66"/>
          </w:tcPr>
          <w:p w:rsidR="00AE1734" w:rsidRPr="00AE1734" w:rsidRDefault="00AE1734" w:rsidP="00A27348">
            <w:pPr>
              <w:jc w:val="both"/>
            </w:pPr>
            <w:r w:rsidRPr="00AE1734">
              <w:t>No</w:t>
            </w:r>
          </w:p>
        </w:tc>
        <w:tc>
          <w:tcPr>
            <w:tcW w:w="993" w:type="dxa"/>
            <w:shd w:val="clear" w:color="auto" w:fill="E5B8B7" w:themeFill="accent2" w:themeFillTint="66"/>
          </w:tcPr>
          <w:p w:rsidR="00AE1734" w:rsidRPr="00AE1734" w:rsidRDefault="00AE1734" w:rsidP="00A27348">
            <w:pPr>
              <w:jc w:val="both"/>
            </w:pPr>
            <w:r w:rsidRPr="00AE1734">
              <w:t>No</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DBR-BCH-J - Land adj Bwlch Woods, Bwlch</w:t>
            </w:r>
          </w:p>
        </w:tc>
        <w:tc>
          <w:tcPr>
            <w:tcW w:w="817" w:type="dxa"/>
            <w:shd w:val="clear" w:color="auto" w:fill="FFFFFF" w:themeFill="background1"/>
          </w:tcPr>
          <w:p w:rsidR="00AE1734" w:rsidRPr="00AE1734" w:rsidRDefault="00AE1734" w:rsidP="00A27348">
            <w:pPr>
              <w:jc w:val="both"/>
            </w:pPr>
            <w:r w:rsidRPr="00AE1734">
              <w:t>15</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CS102 – Dan-Y-Bryn and Lancaster Drive, Gilwern</w:t>
            </w:r>
          </w:p>
        </w:tc>
        <w:tc>
          <w:tcPr>
            <w:tcW w:w="817" w:type="dxa"/>
            <w:shd w:val="clear" w:color="auto" w:fill="FFFFFF" w:themeFill="background1"/>
          </w:tcPr>
          <w:p w:rsidR="00AE1734" w:rsidRPr="00AE1734" w:rsidRDefault="00AE1734" w:rsidP="00A27348">
            <w:pPr>
              <w:jc w:val="both"/>
            </w:pPr>
            <w:r w:rsidRPr="00AE1734">
              <w:t>112</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C2D69B" w:themeFill="accent3" w:themeFillTint="99"/>
          </w:tcPr>
          <w:p w:rsidR="00AE1734" w:rsidRPr="00AE1734" w:rsidRDefault="00AE1734" w:rsidP="00A27348">
            <w:pPr>
              <w:jc w:val="both"/>
            </w:pPr>
            <w:r w:rsidRPr="00AE1734">
              <w:t>Yes</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DBR-LIB-E – Land adj. to Pen Y Fan Close, Libanus</w:t>
            </w:r>
          </w:p>
        </w:tc>
        <w:tc>
          <w:tcPr>
            <w:tcW w:w="817" w:type="dxa"/>
            <w:shd w:val="clear" w:color="auto" w:fill="FFFFFF" w:themeFill="background1"/>
          </w:tcPr>
          <w:p w:rsidR="00AE1734" w:rsidRPr="00AE1734" w:rsidRDefault="00AE1734" w:rsidP="00A27348">
            <w:pPr>
              <w:jc w:val="both"/>
            </w:pPr>
            <w:r w:rsidRPr="00AE1734">
              <w:t>3</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E5B8B7" w:themeFill="accent2" w:themeFillTint="66"/>
          </w:tcPr>
          <w:p w:rsidR="00AE1734" w:rsidRPr="00AE1734" w:rsidRDefault="00AE1734" w:rsidP="00A27348">
            <w:pPr>
              <w:jc w:val="both"/>
            </w:pPr>
            <w:r w:rsidRPr="00AE1734">
              <w:t>No</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DBR-LBD-A – Land adj. St Peter’s Close</w:t>
            </w:r>
          </w:p>
        </w:tc>
        <w:tc>
          <w:tcPr>
            <w:tcW w:w="817" w:type="dxa"/>
            <w:shd w:val="clear" w:color="auto" w:fill="FFFFFF" w:themeFill="background1"/>
          </w:tcPr>
          <w:p w:rsidR="00AE1734" w:rsidRPr="00AE1734" w:rsidRDefault="00AE1734" w:rsidP="00A27348">
            <w:pPr>
              <w:jc w:val="both"/>
            </w:pPr>
            <w:r w:rsidRPr="00AE1734">
              <w:t>8</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C2D69B" w:themeFill="accent3" w:themeFillTint="99"/>
          </w:tcPr>
          <w:p w:rsidR="00AE1734" w:rsidRPr="00AE1734" w:rsidRDefault="00AE1734" w:rsidP="00A27348">
            <w:pPr>
              <w:jc w:val="both"/>
            </w:pPr>
            <w:r w:rsidRPr="00AE1734">
              <w:t>Yes</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DBR-LGN-D – Land opposite Llanigon Primary School, Llanigon</w:t>
            </w:r>
          </w:p>
        </w:tc>
        <w:tc>
          <w:tcPr>
            <w:tcW w:w="817" w:type="dxa"/>
            <w:shd w:val="clear" w:color="auto" w:fill="FFFFFF" w:themeFill="background1"/>
          </w:tcPr>
          <w:p w:rsidR="00AE1734" w:rsidRPr="00AE1734" w:rsidRDefault="00AE1734" w:rsidP="00A27348">
            <w:pPr>
              <w:jc w:val="both"/>
            </w:pPr>
            <w:r w:rsidRPr="00AE1734">
              <w:t>10</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DBR-LPD-A – Land off Heol St Cattwg, Llanspyddid</w:t>
            </w:r>
          </w:p>
        </w:tc>
        <w:tc>
          <w:tcPr>
            <w:tcW w:w="817" w:type="dxa"/>
            <w:shd w:val="clear" w:color="auto" w:fill="FFFFFF" w:themeFill="background1"/>
          </w:tcPr>
          <w:p w:rsidR="00AE1734" w:rsidRPr="00AE1734" w:rsidRDefault="00AE1734" w:rsidP="00A27348">
            <w:pPr>
              <w:jc w:val="both"/>
            </w:pPr>
            <w:r w:rsidRPr="00AE1734">
              <w:t>10</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E5B8B7" w:themeFill="accent2" w:themeFillTint="66"/>
          </w:tcPr>
          <w:p w:rsidR="00AE1734" w:rsidRPr="00AE1734" w:rsidRDefault="00AE1734" w:rsidP="00A27348">
            <w:pPr>
              <w:jc w:val="both"/>
            </w:pPr>
            <w:r w:rsidRPr="00AE1734">
              <w:t>No</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DBR-PNT-D – Land adj Ambleside, Pennorth</w:t>
            </w:r>
          </w:p>
        </w:tc>
        <w:tc>
          <w:tcPr>
            <w:tcW w:w="817" w:type="dxa"/>
            <w:shd w:val="clear" w:color="auto" w:fill="FFFFFF" w:themeFill="background1"/>
          </w:tcPr>
          <w:p w:rsidR="00AE1734" w:rsidRPr="00AE1734" w:rsidRDefault="00AE1734" w:rsidP="00A27348">
            <w:pPr>
              <w:jc w:val="both"/>
            </w:pPr>
            <w:r w:rsidRPr="00AE1734">
              <w:t>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lastRenderedPageBreak/>
              <w:t>CS66 – Former Army Camp, Cwrt Y Gollen</w:t>
            </w:r>
          </w:p>
        </w:tc>
        <w:tc>
          <w:tcPr>
            <w:tcW w:w="817" w:type="dxa"/>
            <w:shd w:val="clear" w:color="auto" w:fill="FFFFFF" w:themeFill="background1"/>
          </w:tcPr>
          <w:p w:rsidR="00AE1734" w:rsidRPr="00AE1734" w:rsidRDefault="00AE1734" w:rsidP="00A27348">
            <w:pPr>
              <w:jc w:val="both"/>
            </w:pPr>
            <w:r w:rsidRPr="00AE1734">
              <w:t>70</w:t>
            </w:r>
          </w:p>
        </w:tc>
        <w:tc>
          <w:tcPr>
            <w:tcW w:w="1276" w:type="dxa"/>
            <w:shd w:val="clear" w:color="auto" w:fill="C2D69B" w:themeFill="accent3" w:themeFillTint="99"/>
          </w:tcPr>
          <w:p w:rsidR="00AE1734" w:rsidRPr="00AE1734" w:rsidRDefault="00AE1734" w:rsidP="00A27348">
            <w:pPr>
              <w:jc w:val="both"/>
            </w:pPr>
            <w:r w:rsidRPr="00AE1734">
              <w:t>Yes</w:t>
            </w:r>
          </w:p>
        </w:tc>
        <w:tc>
          <w:tcPr>
            <w:tcW w:w="1276" w:type="dxa"/>
            <w:shd w:val="clear" w:color="auto" w:fill="C2D69B" w:themeFill="accent3" w:themeFillTint="99"/>
          </w:tcPr>
          <w:p w:rsidR="00AE1734" w:rsidRPr="00AE1734" w:rsidRDefault="00AE1734" w:rsidP="00A27348">
            <w:pPr>
              <w:jc w:val="both"/>
            </w:pPr>
            <w:r w:rsidRPr="00AE1734">
              <w:t>Yes</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rPr>
          <w:trHeight w:val="848"/>
        </w:trPr>
        <w:tc>
          <w:tcPr>
            <w:tcW w:w="9067" w:type="dxa"/>
            <w:gridSpan w:val="9"/>
            <w:shd w:val="clear" w:color="auto" w:fill="4BACC6" w:themeFill="accent5"/>
          </w:tcPr>
          <w:p w:rsidR="00AE1734" w:rsidRDefault="00AE1734" w:rsidP="00AE1734">
            <w:pPr>
              <w:jc w:val="center"/>
            </w:pPr>
          </w:p>
          <w:p w:rsidR="00AE1734" w:rsidRPr="00AE1734" w:rsidRDefault="00AE1734" w:rsidP="00AE1734">
            <w:pPr>
              <w:jc w:val="center"/>
            </w:pPr>
            <w:r w:rsidRPr="00AE1734">
              <w:t>Rest of LDP Period</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CS93 – Slwch House Field, Brecon</w:t>
            </w:r>
          </w:p>
        </w:tc>
        <w:tc>
          <w:tcPr>
            <w:tcW w:w="817" w:type="dxa"/>
            <w:shd w:val="clear" w:color="auto" w:fill="FFFFFF" w:themeFill="background1"/>
          </w:tcPr>
          <w:p w:rsidR="00AE1734" w:rsidRPr="00AE1734" w:rsidRDefault="00AE1734" w:rsidP="00A27348">
            <w:pPr>
              <w:jc w:val="both"/>
            </w:pPr>
            <w:r w:rsidRPr="00AE1734">
              <w:t>23</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DBR-BR-A – Site Located North of Camden Crescent, Brecon</w:t>
            </w:r>
          </w:p>
        </w:tc>
        <w:tc>
          <w:tcPr>
            <w:tcW w:w="817" w:type="dxa"/>
            <w:shd w:val="clear" w:color="auto" w:fill="FFFFFF" w:themeFill="background1"/>
          </w:tcPr>
          <w:p w:rsidR="00AE1734" w:rsidRPr="00AE1734" w:rsidRDefault="00AE1734" w:rsidP="00A27348">
            <w:pPr>
              <w:jc w:val="both"/>
            </w:pPr>
            <w:r w:rsidRPr="00AE1734">
              <w:t>38</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DBR-BR-B – Land north of Cradoc Close, Brecon</w:t>
            </w:r>
          </w:p>
        </w:tc>
        <w:tc>
          <w:tcPr>
            <w:tcW w:w="817" w:type="dxa"/>
            <w:shd w:val="clear" w:color="auto" w:fill="FFFFFF" w:themeFill="background1"/>
          </w:tcPr>
          <w:p w:rsidR="00AE1734" w:rsidRPr="00AE1734" w:rsidRDefault="00AE1734" w:rsidP="00A27348">
            <w:pPr>
              <w:jc w:val="both"/>
            </w:pPr>
            <w:r w:rsidRPr="00AE1734">
              <w:t>33</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CS132 – Land opposite High School, Brecon</w:t>
            </w:r>
          </w:p>
        </w:tc>
        <w:tc>
          <w:tcPr>
            <w:tcW w:w="817" w:type="dxa"/>
            <w:shd w:val="clear" w:color="auto" w:fill="FFFFFF" w:themeFill="background1"/>
          </w:tcPr>
          <w:p w:rsidR="00AE1734" w:rsidRPr="00AE1734" w:rsidRDefault="00AE1734" w:rsidP="00A27348">
            <w:pPr>
              <w:jc w:val="both"/>
            </w:pPr>
            <w:r w:rsidRPr="00AE1734">
              <w:t>107</w:t>
            </w:r>
          </w:p>
        </w:tc>
        <w:tc>
          <w:tcPr>
            <w:tcW w:w="1276" w:type="dxa"/>
            <w:shd w:val="clear" w:color="auto" w:fill="C2D69B" w:themeFill="accent3" w:themeFillTint="99"/>
          </w:tcPr>
          <w:p w:rsidR="00AE1734" w:rsidRPr="00AE1734" w:rsidRDefault="00AE1734" w:rsidP="00A27348">
            <w:pPr>
              <w:jc w:val="both"/>
            </w:pPr>
            <w:r w:rsidRPr="00AE1734">
              <w:t>Yes</w:t>
            </w:r>
          </w:p>
        </w:tc>
        <w:tc>
          <w:tcPr>
            <w:tcW w:w="1276" w:type="dxa"/>
            <w:shd w:val="clear" w:color="auto" w:fill="C2D69B" w:themeFill="accent3" w:themeFillTint="99"/>
          </w:tcPr>
          <w:p w:rsidR="00AE1734" w:rsidRPr="00AE1734" w:rsidRDefault="00AE1734" w:rsidP="00A27348">
            <w:pPr>
              <w:jc w:val="both"/>
            </w:pPr>
            <w:r w:rsidRPr="00AE1734">
              <w:t>Yes</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FF0000"/>
          </w:tcPr>
          <w:p w:rsidR="00AE1734" w:rsidRPr="00AE1734" w:rsidRDefault="00AE1734" w:rsidP="00A27348">
            <w:pPr>
              <w:jc w:val="both"/>
            </w:pPr>
            <w:r w:rsidRPr="00AE1734">
              <w:t>Refused</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DBR-CR-A – Land above Televillage, Crickhowell</w:t>
            </w:r>
          </w:p>
        </w:tc>
        <w:tc>
          <w:tcPr>
            <w:tcW w:w="817" w:type="dxa"/>
            <w:shd w:val="clear" w:color="auto" w:fill="FFFFFF" w:themeFill="background1"/>
          </w:tcPr>
          <w:p w:rsidR="00AE1734" w:rsidRPr="00AE1734" w:rsidRDefault="00AE1734" w:rsidP="00A27348">
            <w:pPr>
              <w:jc w:val="both"/>
            </w:pPr>
            <w:r w:rsidRPr="00AE1734">
              <w:t>20</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w:t>
            </w:r>
          </w:p>
        </w:tc>
        <w:tc>
          <w:tcPr>
            <w:tcW w:w="1275" w:type="dxa"/>
            <w:shd w:val="clear" w:color="auto" w:fill="C2D69B" w:themeFill="accent3" w:themeFillTint="99"/>
          </w:tcPr>
          <w:p w:rsidR="00AE1734" w:rsidRPr="00AE1734" w:rsidRDefault="00AE1734" w:rsidP="00A27348">
            <w:pPr>
              <w:jc w:val="both"/>
            </w:pPr>
            <w:r w:rsidRPr="00AE1734">
              <w:t xml:space="preserve">Yes </w:t>
            </w: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CS138 – Glannau Senni, Defynnog</w:t>
            </w:r>
          </w:p>
        </w:tc>
        <w:tc>
          <w:tcPr>
            <w:tcW w:w="817" w:type="dxa"/>
            <w:shd w:val="clear" w:color="auto" w:fill="FFFFFF" w:themeFill="background1"/>
          </w:tcPr>
          <w:p w:rsidR="00AE1734" w:rsidRPr="00AE1734" w:rsidRDefault="00AE1734" w:rsidP="00A27348">
            <w:pPr>
              <w:jc w:val="both"/>
            </w:pPr>
            <w:r w:rsidRPr="00AE1734">
              <w:t>15</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DBR-HOW-C – Land adj Fire Station</w:t>
            </w:r>
          </w:p>
        </w:tc>
        <w:tc>
          <w:tcPr>
            <w:tcW w:w="817" w:type="dxa"/>
            <w:shd w:val="clear" w:color="auto" w:fill="FFFFFF" w:themeFill="background1"/>
          </w:tcPr>
          <w:p w:rsidR="00AE1734" w:rsidRPr="00AE1734" w:rsidRDefault="00AE1734" w:rsidP="00A27348">
            <w:pPr>
              <w:jc w:val="both"/>
            </w:pPr>
            <w:r w:rsidRPr="00AE1734">
              <w:t>13</w:t>
            </w:r>
          </w:p>
        </w:tc>
        <w:tc>
          <w:tcPr>
            <w:tcW w:w="1276" w:type="dxa"/>
            <w:shd w:val="clear" w:color="auto" w:fill="BFBFBF" w:themeFill="background1" w:themeFillShade="BF"/>
          </w:tcPr>
          <w:p w:rsidR="00AE1734" w:rsidRPr="00AE1734" w:rsidRDefault="00AE1734" w:rsidP="00A27348">
            <w:pPr>
              <w:jc w:val="both"/>
            </w:pPr>
          </w:p>
        </w:tc>
        <w:tc>
          <w:tcPr>
            <w:tcW w:w="1276" w:type="dxa"/>
            <w:shd w:val="clear" w:color="auto" w:fill="BFBFBF" w:themeFill="background1" w:themeFillShade="BF"/>
          </w:tcPr>
          <w:p w:rsidR="00AE1734" w:rsidRPr="00AE1734" w:rsidRDefault="00AE1734" w:rsidP="00A27348">
            <w:pPr>
              <w:jc w:val="both"/>
            </w:pP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CS42 – Land at Crai, Crai</w:t>
            </w:r>
          </w:p>
        </w:tc>
        <w:tc>
          <w:tcPr>
            <w:tcW w:w="817" w:type="dxa"/>
            <w:shd w:val="clear" w:color="auto" w:fill="FFFFFF" w:themeFill="background1"/>
          </w:tcPr>
          <w:p w:rsidR="00AE1734" w:rsidRPr="00AE1734" w:rsidRDefault="00AE1734" w:rsidP="00A27348">
            <w:pPr>
              <w:jc w:val="both"/>
            </w:pPr>
            <w:r w:rsidRPr="00AE1734">
              <w:t>9</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E5B8B7" w:themeFill="accent2" w:themeFillTint="66"/>
          </w:tcPr>
          <w:p w:rsidR="00AE1734" w:rsidRPr="00AE1734" w:rsidRDefault="00AE1734" w:rsidP="00A27348">
            <w:pPr>
              <w:jc w:val="both"/>
            </w:pPr>
            <w:r w:rsidRPr="00AE1734">
              <w:t>No</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CS43 – Land SW of Gwalia, Crai</w:t>
            </w:r>
          </w:p>
        </w:tc>
        <w:tc>
          <w:tcPr>
            <w:tcW w:w="817" w:type="dxa"/>
            <w:shd w:val="clear" w:color="auto" w:fill="FFFFFF" w:themeFill="background1"/>
          </w:tcPr>
          <w:p w:rsidR="00AE1734" w:rsidRPr="00AE1734" w:rsidRDefault="00AE1734" w:rsidP="00A27348">
            <w:pPr>
              <w:jc w:val="both"/>
            </w:pPr>
            <w:r w:rsidRPr="00AE1734">
              <w:t>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CS39/69/70/88/89/99 – Land at Ty Clyd, Govilon</w:t>
            </w:r>
          </w:p>
        </w:tc>
        <w:tc>
          <w:tcPr>
            <w:tcW w:w="817" w:type="dxa"/>
            <w:shd w:val="clear" w:color="auto" w:fill="FFFFFF" w:themeFill="background1"/>
          </w:tcPr>
          <w:p w:rsidR="00AE1734" w:rsidRPr="00AE1734" w:rsidRDefault="00AE1734" w:rsidP="00A27348">
            <w:pPr>
              <w:jc w:val="both"/>
            </w:pPr>
            <w:r w:rsidRPr="00AE1734">
              <w:t>93</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rsidRPr="00AE1734">
              <w:t>Yes</w:t>
            </w:r>
          </w:p>
        </w:tc>
        <w:tc>
          <w:tcPr>
            <w:tcW w:w="850" w:type="dxa"/>
            <w:shd w:val="clear" w:color="auto" w:fill="C2D69B" w:themeFill="accent3" w:themeFillTint="99"/>
          </w:tcPr>
          <w:p w:rsidR="00AE1734" w:rsidRPr="00AE1734" w:rsidRDefault="00AE1734" w:rsidP="00A27348">
            <w:pPr>
              <w:jc w:val="both"/>
            </w:pPr>
            <w:r w:rsidRPr="00AE1734">
              <w:t>Yes</w:t>
            </w:r>
          </w:p>
        </w:tc>
        <w:tc>
          <w:tcPr>
            <w:tcW w:w="993" w:type="dxa"/>
            <w:shd w:val="clear" w:color="auto" w:fill="C2D69B" w:themeFill="accent3" w:themeFillTint="99"/>
          </w:tcPr>
          <w:p w:rsidR="00AE1734" w:rsidRPr="00AE1734" w:rsidRDefault="00AE1734" w:rsidP="00A27348">
            <w:pPr>
              <w:jc w:val="both"/>
            </w:pPr>
            <w:r w:rsidRPr="00AE1734">
              <w:t>Yes (part of site)</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CS120 – Land South of Ty Melys, Pencelli</w:t>
            </w:r>
          </w:p>
        </w:tc>
        <w:tc>
          <w:tcPr>
            <w:tcW w:w="817" w:type="dxa"/>
            <w:shd w:val="clear" w:color="auto" w:fill="FFFFFF" w:themeFill="background1"/>
          </w:tcPr>
          <w:p w:rsidR="00AE1734" w:rsidRPr="00AE1734" w:rsidRDefault="00AE1734" w:rsidP="00A27348">
            <w:pPr>
              <w:jc w:val="both"/>
            </w:pPr>
            <w:r w:rsidRPr="00AE1734">
              <w:t>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rPr>
                <w:highlight w:val="yellow"/>
              </w:rPr>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CS55 – Land at Penygarn, Pontsticill</w:t>
            </w:r>
          </w:p>
        </w:tc>
        <w:tc>
          <w:tcPr>
            <w:tcW w:w="817" w:type="dxa"/>
          </w:tcPr>
          <w:p w:rsidR="00AE1734" w:rsidRPr="00AE1734" w:rsidRDefault="00AE1734" w:rsidP="00A27348">
            <w:pPr>
              <w:jc w:val="both"/>
            </w:pPr>
            <w:r w:rsidRPr="00AE1734">
              <w:t>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 xml:space="preserve">No </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lastRenderedPageBreak/>
              <w:t>DBR-PTSC/C – Land at end of Dan-Y-Coed, Pontsticill</w:t>
            </w:r>
          </w:p>
        </w:tc>
        <w:tc>
          <w:tcPr>
            <w:tcW w:w="817" w:type="dxa"/>
          </w:tcPr>
          <w:p w:rsidR="00AE1734" w:rsidRPr="00AE1734" w:rsidRDefault="00AE1734" w:rsidP="00A27348">
            <w:pPr>
              <w:jc w:val="both"/>
            </w:pPr>
            <w:r w:rsidRPr="00AE1734">
              <w:t>3</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 xml:space="preserve">No </w:t>
            </w:r>
          </w:p>
          <w:p w:rsidR="00AE1734" w:rsidRPr="00AE1734" w:rsidRDefault="00AE1734" w:rsidP="00A27348"/>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CS91 – Land west of Ponsticill House, Pontsticill</w:t>
            </w:r>
          </w:p>
        </w:tc>
        <w:tc>
          <w:tcPr>
            <w:tcW w:w="817" w:type="dxa"/>
          </w:tcPr>
          <w:p w:rsidR="00AE1734" w:rsidRPr="00AE1734" w:rsidRDefault="00AE1734" w:rsidP="00A27348">
            <w:pPr>
              <w:jc w:val="both"/>
            </w:pPr>
            <w:r w:rsidRPr="00AE1734">
              <w:t>6</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 xml:space="preserve">No </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rsidRPr="00AE1734">
              <w:t>CS127 – Maesmawr Farm, Talybont</w:t>
            </w:r>
          </w:p>
        </w:tc>
        <w:tc>
          <w:tcPr>
            <w:tcW w:w="817" w:type="dxa"/>
          </w:tcPr>
          <w:p w:rsidR="00AE1734" w:rsidRPr="00AE1734" w:rsidRDefault="00AE1734" w:rsidP="00A27348">
            <w:pPr>
              <w:jc w:val="both"/>
            </w:pPr>
            <w:r w:rsidRPr="00AE1734">
              <w:t>57</w:t>
            </w:r>
          </w:p>
        </w:tc>
        <w:tc>
          <w:tcPr>
            <w:tcW w:w="1276" w:type="dxa"/>
            <w:shd w:val="clear" w:color="auto" w:fill="BFBFBF" w:themeFill="background1" w:themeFillShade="BF"/>
          </w:tcPr>
          <w:p w:rsidR="00AE1734" w:rsidRPr="00AE1734" w:rsidRDefault="00AE1734" w:rsidP="00A27348">
            <w:pPr>
              <w:jc w:val="both"/>
            </w:pPr>
            <w:r w:rsidRPr="00AE1734">
              <w:t>N/A</w:t>
            </w:r>
          </w:p>
        </w:tc>
        <w:tc>
          <w:tcPr>
            <w:tcW w:w="1276" w:type="dxa"/>
            <w:shd w:val="clear" w:color="auto" w:fill="BFBFBF" w:themeFill="background1" w:themeFillShade="BF"/>
          </w:tcPr>
          <w:p w:rsidR="00AE1734" w:rsidRPr="00AE1734" w:rsidRDefault="00AE1734" w:rsidP="00A27348">
            <w:pPr>
              <w:jc w:val="both"/>
            </w:pPr>
            <w:r w:rsidRPr="00AE1734">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Tr="00AE1734">
        <w:tc>
          <w:tcPr>
            <w:tcW w:w="1559" w:type="dxa"/>
            <w:shd w:val="clear" w:color="auto" w:fill="FFFFFF" w:themeFill="background1"/>
          </w:tcPr>
          <w:p w:rsidR="00AE1734" w:rsidRPr="00AE1734" w:rsidRDefault="00AE1734" w:rsidP="00A27348">
            <w:pPr>
              <w:jc w:val="both"/>
            </w:pPr>
            <w:r w:rsidRPr="00AE1734">
              <w:t>CS111 – Former Mid Wales Hospital</w:t>
            </w:r>
          </w:p>
        </w:tc>
        <w:tc>
          <w:tcPr>
            <w:tcW w:w="817" w:type="dxa"/>
          </w:tcPr>
          <w:p w:rsidR="00AE1734" w:rsidRPr="00AE1734" w:rsidRDefault="00AE1734" w:rsidP="00A27348">
            <w:pPr>
              <w:jc w:val="both"/>
            </w:pPr>
            <w:r w:rsidRPr="00AE1734">
              <w:t>93</w:t>
            </w:r>
          </w:p>
        </w:tc>
        <w:tc>
          <w:tcPr>
            <w:tcW w:w="1276" w:type="dxa"/>
            <w:shd w:val="clear" w:color="auto" w:fill="E5B8B7" w:themeFill="accent2" w:themeFillTint="66"/>
          </w:tcPr>
          <w:p w:rsidR="00AE1734" w:rsidRPr="00AE1734" w:rsidRDefault="00AE1734" w:rsidP="00A27348">
            <w:pPr>
              <w:jc w:val="both"/>
            </w:pPr>
            <w:r w:rsidRPr="00AE1734">
              <w:t>No</w:t>
            </w:r>
          </w:p>
        </w:tc>
        <w:tc>
          <w:tcPr>
            <w:tcW w:w="1276" w:type="dxa"/>
            <w:shd w:val="clear" w:color="auto" w:fill="E5B8B7" w:themeFill="accent2" w:themeFillTint="66"/>
          </w:tcPr>
          <w:p w:rsidR="00AE1734" w:rsidRPr="00AE1734" w:rsidRDefault="00AE1734" w:rsidP="00A27348">
            <w:pPr>
              <w:jc w:val="both"/>
            </w:pPr>
            <w:r w:rsidRPr="00AE1734">
              <w:t>No</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rsidRPr="00AE1734">
              <w:t>No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bl>
    <w:p w:rsidR="00972C95" w:rsidRPr="00495981" w:rsidRDefault="00A27348" w:rsidP="004A6384">
      <w:pPr>
        <w:jc w:val="both"/>
        <w:rPr>
          <w:sz w:val="24"/>
          <w:szCs w:val="24"/>
        </w:rPr>
      </w:pPr>
      <w:r>
        <w:rPr>
          <w:sz w:val="24"/>
          <w:szCs w:val="24"/>
        </w:rPr>
        <w:br w:type="textWrapping" w:clear="all"/>
      </w:r>
    </w:p>
    <w:p w:rsidR="006751C8" w:rsidRPr="00495981" w:rsidRDefault="006751C8" w:rsidP="004A6384">
      <w:pPr>
        <w:jc w:val="both"/>
        <w:rPr>
          <w:b/>
          <w:i/>
        </w:rPr>
      </w:pPr>
      <w:r w:rsidRPr="00495981">
        <w:rPr>
          <w:b/>
          <w:i/>
        </w:rPr>
        <w:t>The First 5 Years</w:t>
      </w:r>
    </w:p>
    <w:p w:rsidR="006751C8" w:rsidRPr="00495981" w:rsidRDefault="006751C8" w:rsidP="004A6384">
      <w:pPr>
        <w:jc w:val="both"/>
      </w:pPr>
      <w:r w:rsidRPr="00495981">
        <w:t>It is noted</w:t>
      </w:r>
      <w:r w:rsidR="00A65844" w:rsidRPr="00495981">
        <w:t xml:space="preserve"> that 10 s</w:t>
      </w:r>
      <w:r w:rsidR="00A129D1" w:rsidRPr="00495981">
        <w:t xml:space="preserve">ites for this period have been progressed to the planning </w:t>
      </w:r>
      <w:r w:rsidR="00A65844" w:rsidRPr="00495981">
        <w:t>application stage, with 4</w:t>
      </w:r>
      <w:r w:rsidR="00A129D1" w:rsidRPr="00495981">
        <w:t xml:space="preserve"> developer</w:t>
      </w:r>
      <w:r w:rsidR="00A65844" w:rsidRPr="00495981">
        <w:t>s</w:t>
      </w:r>
      <w:r w:rsidR="00A129D1" w:rsidRPr="00495981">
        <w:t xml:space="preserve"> having commenced development on s</w:t>
      </w:r>
      <w:r w:rsidR="00033D4F" w:rsidRPr="00495981">
        <w:t>ite.  In line with the reco</w:t>
      </w:r>
      <w:r w:rsidR="00A65844" w:rsidRPr="00495981">
        <w:t xml:space="preserve">mmendations of previous AMRs, </w:t>
      </w:r>
      <w:r w:rsidR="00033D4F" w:rsidRPr="00495981">
        <w:t>Officers wrote</w:t>
      </w:r>
      <w:r w:rsidR="00A129D1" w:rsidRPr="00495981">
        <w:t xml:space="preserve"> to landowners to advise the</w:t>
      </w:r>
      <w:r w:rsidR="00A65844" w:rsidRPr="00495981">
        <w:t>m that failure to progress allocated</w:t>
      </w:r>
      <w:r w:rsidR="00A129D1" w:rsidRPr="00495981">
        <w:t xml:space="preserve"> sites through the planning system may result in their de-allocation during the Review stage.  </w:t>
      </w:r>
      <w:r w:rsidR="00033D4F" w:rsidRPr="00495981">
        <w:t xml:space="preserve">All landowners responded positively to the letter and stated that the sites will be progressed to the application stage </w:t>
      </w:r>
      <w:r w:rsidR="00A65844" w:rsidRPr="00495981">
        <w:t>in the near future.  Indeed, a further 6</w:t>
      </w:r>
      <w:r w:rsidR="00033D4F" w:rsidRPr="00495981">
        <w:t xml:space="preserve"> application</w:t>
      </w:r>
      <w:r w:rsidR="00A65844" w:rsidRPr="00495981">
        <w:t>s have</w:t>
      </w:r>
      <w:r w:rsidR="00033D4F" w:rsidRPr="00495981">
        <w:t xml:space="preserve"> been submitted for c</w:t>
      </w:r>
      <w:r w:rsidR="00A65844" w:rsidRPr="00495981">
        <w:t>onsideration with a further site</w:t>
      </w:r>
      <w:r w:rsidR="00033D4F" w:rsidRPr="00495981">
        <w:t xml:space="preserve"> the subject of a pre-application enquiry.</w:t>
      </w:r>
    </w:p>
    <w:p w:rsidR="00A129D1" w:rsidRPr="00495981" w:rsidRDefault="00A129D1" w:rsidP="004A6384">
      <w:pPr>
        <w:jc w:val="both"/>
      </w:pPr>
    </w:p>
    <w:p w:rsidR="00A129D1" w:rsidRPr="00495981" w:rsidRDefault="00A129D1" w:rsidP="004A6384">
      <w:pPr>
        <w:jc w:val="both"/>
        <w:rPr>
          <w:b/>
          <w:i/>
        </w:rPr>
      </w:pPr>
      <w:r w:rsidRPr="00495981">
        <w:rPr>
          <w:b/>
          <w:i/>
        </w:rPr>
        <w:t>The Rest of the Plan Period</w:t>
      </w:r>
    </w:p>
    <w:p w:rsidR="00A129D1" w:rsidRPr="00495981" w:rsidRDefault="00495981" w:rsidP="004A6384">
      <w:pPr>
        <w:jc w:val="both"/>
      </w:pPr>
      <w:r w:rsidRPr="00495981">
        <w:t xml:space="preserve">As expected, there has been </w:t>
      </w:r>
      <w:r w:rsidR="00A129D1" w:rsidRPr="00495981">
        <w:t>less activity in re</w:t>
      </w:r>
      <w:r w:rsidR="00033D4F" w:rsidRPr="00495981">
        <w:t>lation to these sites with four</w:t>
      </w:r>
      <w:r w:rsidR="00A129D1" w:rsidRPr="00495981">
        <w:t xml:space="preserve"> being progressed to an application stage</w:t>
      </w:r>
      <w:r w:rsidRPr="00495981">
        <w:t xml:space="preserve"> – one</w:t>
      </w:r>
      <w:r w:rsidR="00033D4F" w:rsidRPr="00495981">
        <w:t xml:space="preserve"> </w:t>
      </w:r>
      <w:r w:rsidRPr="00495981">
        <w:t>is</w:t>
      </w:r>
      <w:r w:rsidR="002E574C" w:rsidRPr="00495981">
        <w:t xml:space="preserve"> minded to permit subject to</w:t>
      </w:r>
      <w:r w:rsidRPr="00495981">
        <w:t xml:space="preserve"> a Section 106 Agreement and two have</w:t>
      </w:r>
      <w:r w:rsidR="002E574C" w:rsidRPr="00495981">
        <w:t xml:space="preserve"> been permitted.</w:t>
      </w:r>
      <w:r w:rsidRPr="00495981">
        <w:t xml:space="preserve">  Of the two permissions granted, one has commenced development on site.</w:t>
      </w:r>
      <w:r w:rsidR="00A129D1" w:rsidRPr="00495981">
        <w:t xml:space="preserve">  Whilst </w:t>
      </w:r>
      <w:r w:rsidR="001D5D0F" w:rsidRPr="00495981">
        <w:t>it is appreciated</w:t>
      </w:r>
      <w:r w:rsidR="00C64563" w:rsidRPr="00495981">
        <w:t xml:space="preserve"> that </w:t>
      </w:r>
      <w:r w:rsidR="00A129D1" w:rsidRPr="00495981">
        <w:t xml:space="preserve">a number of these sites are restricted </w:t>
      </w:r>
      <w:r w:rsidR="00C64563" w:rsidRPr="00495981">
        <w:t>by a lack of water</w:t>
      </w:r>
      <w:r w:rsidR="00B24387" w:rsidRPr="00495981">
        <w:t xml:space="preserve"> infrastructure, Officers intend</w:t>
      </w:r>
      <w:r w:rsidR="00C64563" w:rsidRPr="00495981">
        <w:t xml:space="preserve"> to contact the landowners in order to seek an update together with a likely timeframe for the progression of the site through the planning process.</w:t>
      </w:r>
    </w:p>
    <w:p w:rsidR="006751C8" w:rsidRPr="007E1A01" w:rsidRDefault="006751C8" w:rsidP="004A6384">
      <w:pPr>
        <w:jc w:val="both"/>
        <w:rPr>
          <w:color w:val="FF0000"/>
        </w:rPr>
      </w:pPr>
    </w:p>
    <w:p w:rsidR="006751C8" w:rsidRPr="00495981" w:rsidRDefault="006751C8" w:rsidP="004A6384">
      <w:pPr>
        <w:jc w:val="both"/>
        <w:rPr>
          <w:b/>
          <w:i/>
        </w:rPr>
      </w:pPr>
      <w:r w:rsidRPr="00495981">
        <w:rPr>
          <w:b/>
          <w:i/>
        </w:rPr>
        <w:t>Mixed Use Sites</w:t>
      </w:r>
    </w:p>
    <w:p w:rsidR="006751C8" w:rsidRPr="00495981" w:rsidRDefault="006751C8" w:rsidP="004A6384">
      <w:pPr>
        <w:jc w:val="both"/>
      </w:pPr>
      <w:r w:rsidRPr="00495981">
        <w:lastRenderedPageBreak/>
        <w:t>Looking at the allocated mixed use sites (Mid Wales Hospital, Cwrt Y Gollen, Hay Road and Land Opposite High School), it should be noted that paragraph 7.2.1 of the L</w:t>
      </w:r>
      <w:r w:rsidR="00B24387" w:rsidRPr="00495981">
        <w:t xml:space="preserve">ocal </w:t>
      </w:r>
      <w:r w:rsidRPr="00495981">
        <w:t>D</w:t>
      </w:r>
      <w:r w:rsidR="00B24387" w:rsidRPr="00495981">
        <w:t xml:space="preserve">evelopment </w:t>
      </w:r>
      <w:r w:rsidRPr="00495981">
        <w:t>P</w:t>
      </w:r>
      <w:r w:rsidR="00B24387" w:rsidRPr="00495981">
        <w:t>lan</w:t>
      </w:r>
      <w:r w:rsidRPr="00495981">
        <w:t xml:space="preserve"> requires development briefs to be agreed on site prior to the submission of any planning application.  Accordingly, Briefs have been agreed</w:t>
      </w:r>
      <w:r w:rsidR="002E574C" w:rsidRPr="00495981">
        <w:t xml:space="preserve"> on Cwrt Y Gollen, Hay Road and</w:t>
      </w:r>
      <w:r w:rsidRPr="00495981">
        <w:t xml:space="preserve"> Lan</w:t>
      </w:r>
      <w:r w:rsidR="002E574C" w:rsidRPr="00495981">
        <w:t>d Opposite High School.</w:t>
      </w:r>
    </w:p>
    <w:p w:rsidR="006751C8" w:rsidRPr="00495981" w:rsidRDefault="006751C8" w:rsidP="004A6384">
      <w:pPr>
        <w:jc w:val="both"/>
      </w:pPr>
    </w:p>
    <w:p w:rsidR="00FB2B3B" w:rsidRPr="00495981" w:rsidRDefault="006751C8" w:rsidP="004A6384">
      <w:pPr>
        <w:jc w:val="both"/>
      </w:pPr>
      <w:r w:rsidRPr="00495981">
        <w:t xml:space="preserve">The only remaining brief to be submitted relates to the former Mid Wales Hospital site.  A significant amount of pre-application advice has been provided in relation to this particular </w:t>
      </w:r>
      <w:r w:rsidR="002E574C" w:rsidRPr="00495981">
        <w:t>site and discussions have taken place</w:t>
      </w:r>
      <w:r w:rsidRPr="00495981">
        <w:t xml:space="preserve"> with regard to the required content an</w:t>
      </w:r>
      <w:r w:rsidR="002E574C" w:rsidRPr="00495981">
        <w:t>d make-up of any draft brief.  The Authority is currently awaiting the submission of the brief and a</w:t>
      </w:r>
      <w:r w:rsidRPr="00495981">
        <w:t xml:space="preserve"> reasonable expectation would be the submission </w:t>
      </w:r>
      <w:r w:rsidR="00495981" w:rsidRPr="00495981">
        <w:t>of a draft by the end</w:t>
      </w:r>
      <w:r w:rsidR="002E574C" w:rsidRPr="00495981">
        <w:t xml:space="preserve"> of 2017</w:t>
      </w:r>
      <w:r w:rsidRPr="00495981">
        <w:t>.</w:t>
      </w:r>
      <w:r w:rsidR="00495981">
        <w:t xml:space="preserve">  It should be noted that a draft scope for the Brief has been agreed in principle with the Authority’s Strategy and Policy Team.  </w:t>
      </w:r>
    </w:p>
    <w:p w:rsidR="00FB2B3B" w:rsidRPr="00495981" w:rsidRDefault="00FB2B3B" w:rsidP="004A6384">
      <w:pPr>
        <w:jc w:val="both"/>
        <w:rPr>
          <w:b/>
          <w:sz w:val="24"/>
          <w:szCs w:val="24"/>
        </w:rPr>
      </w:pPr>
    </w:p>
    <w:p w:rsidR="00FB2B3B" w:rsidRPr="00495981" w:rsidRDefault="00FB2B3B" w:rsidP="004A6384">
      <w:pPr>
        <w:jc w:val="both"/>
        <w:rPr>
          <w:b/>
          <w:sz w:val="24"/>
          <w:szCs w:val="24"/>
        </w:rPr>
      </w:pPr>
    </w:p>
    <w:p w:rsidR="004A6384" w:rsidRPr="00495981" w:rsidRDefault="004A6384" w:rsidP="004A6384">
      <w:pPr>
        <w:jc w:val="both"/>
        <w:rPr>
          <w:b/>
          <w:sz w:val="24"/>
          <w:szCs w:val="24"/>
          <w:u w:val="single"/>
        </w:rPr>
      </w:pPr>
      <w:r w:rsidRPr="00495981">
        <w:rPr>
          <w:b/>
          <w:sz w:val="24"/>
          <w:szCs w:val="24"/>
          <w:u w:val="single"/>
        </w:rPr>
        <w:t>Recommendations</w:t>
      </w:r>
    </w:p>
    <w:p w:rsidR="00FB5019" w:rsidRPr="00495981" w:rsidRDefault="00FB5019" w:rsidP="004A6384">
      <w:pPr>
        <w:jc w:val="both"/>
      </w:pPr>
    </w:p>
    <w:p w:rsidR="00FB5019" w:rsidRPr="00495981" w:rsidRDefault="00FB5019" w:rsidP="004A6384">
      <w:pPr>
        <w:jc w:val="both"/>
        <w:rPr>
          <w:b/>
          <w:i/>
        </w:rPr>
      </w:pPr>
      <w:r w:rsidRPr="00495981">
        <w:rPr>
          <w:b/>
          <w:i/>
        </w:rPr>
        <w:t>Monitoring Complete</w:t>
      </w:r>
    </w:p>
    <w:p w:rsidR="007D7308" w:rsidRPr="00495981" w:rsidRDefault="007D7308" w:rsidP="004A6384">
      <w:pPr>
        <w:jc w:val="both"/>
      </w:pPr>
      <w:r w:rsidRPr="00495981">
        <w:t>The requirements of a nu</w:t>
      </w:r>
      <w:r w:rsidR="00F020F8" w:rsidRPr="00495981">
        <w:t>mber of the indicators were</w:t>
      </w:r>
      <w:r w:rsidRPr="00495981">
        <w:t xml:space="preserve"> met during the first monitoring phase of the L</w:t>
      </w:r>
      <w:r w:rsidR="0095071A" w:rsidRPr="00495981">
        <w:t xml:space="preserve">ocal </w:t>
      </w:r>
      <w:r w:rsidRPr="00495981">
        <w:t>D</w:t>
      </w:r>
      <w:r w:rsidR="0095071A" w:rsidRPr="00495981">
        <w:t xml:space="preserve">evelopment </w:t>
      </w:r>
      <w:r w:rsidRPr="00495981">
        <w:t>P</w:t>
      </w:r>
      <w:r w:rsidR="0095071A" w:rsidRPr="00495981">
        <w:t>lan</w:t>
      </w:r>
      <w:r w:rsidR="00F020F8" w:rsidRPr="00495981">
        <w:t xml:space="preserve"> and, accordingly, these</w:t>
      </w:r>
      <w:r w:rsidRPr="00495981">
        <w:t xml:space="preserve"> no long</w:t>
      </w:r>
      <w:r w:rsidR="00F020F8" w:rsidRPr="00495981">
        <w:t>er require monitoring</w:t>
      </w:r>
      <w:r w:rsidR="00495981" w:rsidRPr="00495981">
        <w:t>.  These we</w:t>
      </w:r>
      <w:r w:rsidRPr="00495981">
        <w:t>re:</w:t>
      </w:r>
    </w:p>
    <w:p w:rsidR="0095071A" w:rsidRPr="00495981" w:rsidRDefault="0095071A" w:rsidP="004A6384">
      <w:pPr>
        <w:jc w:val="both"/>
      </w:pPr>
    </w:p>
    <w:p w:rsidR="007D7308" w:rsidRPr="00495981" w:rsidRDefault="007D7308" w:rsidP="007D7308">
      <w:pPr>
        <w:pStyle w:val="ListParagraph"/>
        <w:numPr>
          <w:ilvl w:val="0"/>
          <w:numId w:val="9"/>
        </w:numPr>
        <w:jc w:val="both"/>
      </w:pPr>
      <w:r w:rsidRPr="00495981">
        <w:t>Occupation of the allocated Gypsy and Traveller site</w:t>
      </w:r>
      <w:r w:rsidR="00BB4051" w:rsidRPr="00495981">
        <w:t>; and</w:t>
      </w:r>
    </w:p>
    <w:p w:rsidR="007D7308" w:rsidRPr="00495981" w:rsidRDefault="007D7308" w:rsidP="007D7308">
      <w:pPr>
        <w:pStyle w:val="ListParagraph"/>
        <w:numPr>
          <w:ilvl w:val="0"/>
          <w:numId w:val="9"/>
        </w:numPr>
        <w:jc w:val="both"/>
      </w:pPr>
      <w:r w:rsidRPr="00495981">
        <w:t>Supplementary Planning Guidance relating to:</w:t>
      </w:r>
    </w:p>
    <w:p w:rsidR="007D7308" w:rsidRPr="00495981" w:rsidRDefault="007D7308" w:rsidP="007D7308">
      <w:pPr>
        <w:pStyle w:val="ListParagraph"/>
        <w:numPr>
          <w:ilvl w:val="1"/>
          <w:numId w:val="9"/>
        </w:numPr>
        <w:jc w:val="both"/>
      </w:pPr>
      <w:r w:rsidRPr="00495981">
        <w:t>Affordable Housing</w:t>
      </w:r>
    </w:p>
    <w:p w:rsidR="007D7308" w:rsidRPr="00495981" w:rsidRDefault="007D7308" w:rsidP="007D7308">
      <w:pPr>
        <w:pStyle w:val="ListParagraph"/>
        <w:numPr>
          <w:ilvl w:val="1"/>
          <w:numId w:val="9"/>
        </w:numPr>
        <w:jc w:val="both"/>
      </w:pPr>
      <w:r w:rsidRPr="00495981">
        <w:t>Planning Obligations</w:t>
      </w:r>
    </w:p>
    <w:p w:rsidR="007D7308" w:rsidRPr="00495981" w:rsidRDefault="007D7308" w:rsidP="007D7308">
      <w:pPr>
        <w:pStyle w:val="ListParagraph"/>
        <w:numPr>
          <w:ilvl w:val="1"/>
          <w:numId w:val="9"/>
        </w:numPr>
        <w:jc w:val="both"/>
      </w:pPr>
      <w:r w:rsidRPr="00495981">
        <w:t>Appropriate Development in the Countryside</w:t>
      </w:r>
    </w:p>
    <w:p w:rsidR="007D7308" w:rsidRPr="00495981" w:rsidRDefault="007D7308" w:rsidP="007D7308">
      <w:pPr>
        <w:pStyle w:val="ListParagraph"/>
        <w:numPr>
          <w:ilvl w:val="1"/>
          <w:numId w:val="9"/>
        </w:numPr>
        <w:jc w:val="both"/>
      </w:pPr>
      <w:r w:rsidRPr="00495981">
        <w:t>Farm Diversification</w:t>
      </w:r>
    </w:p>
    <w:p w:rsidR="007D7308" w:rsidRPr="00495981" w:rsidRDefault="007D7308" w:rsidP="007D7308">
      <w:pPr>
        <w:pStyle w:val="ListParagraph"/>
        <w:numPr>
          <w:ilvl w:val="1"/>
          <w:numId w:val="9"/>
        </w:numPr>
        <w:jc w:val="both"/>
      </w:pPr>
      <w:r w:rsidRPr="00495981">
        <w:t>Obtrusive Lighting</w:t>
      </w:r>
    </w:p>
    <w:p w:rsidR="007D7308" w:rsidRPr="00495981" w:rsidRDefault="007D7308" w:rsidP="007D7308">
      <w:pPr>
        <w:pStyle w:val="ListParagraph"/>
        <w:numPr>
          <w:ilvl w:val="1"/>
          <w:numId w:val="9"/>
        </w:numPr>
        <w:jc w:val="both"/>
      </w:pPr>
      <w:r w:rsidRPr="00495981">
        <w:t>Sustainable Development in the National Parks of Wales</w:t>
      </w:r>
    </w:p>
    <w:p w:rsidR="007D7308" w:rsidRPr="00495981" w:rsidRDefault="007D7308" w:rsidP="007D7308">
      <w:pPr>
        <w:pStyle w:val="ListParagraph"/>
        <w:numPr>
          <w:ilvl w:val="1"/>
          <w:numId w:val="9"/>
        </w:numPr>
        <w:jc w:val="both"/>
      </w:pPr>
      <w:r w:rsidRPr="00495981">
        <w:t>Small Scale Renewable Energy Developments</w:t>
      </w:r>
    </w:p>
    <w:p w:rsidR="007D7308" w:rsidRPr="00495981" w:rsidRDefault="00BB4051" w:rsidP="00BB4051">
      <w:pPr>
        <w:pStyle w:val="ListParagraph"/>
        <w:numPr>
          <w:ilvl w:val="1"/>
          <w:numId w:val="9"/>
        </w:numPr>
        <w:jc w:val="both"/>
      </w:pPr>
      <w:r w:rsidRPr="00495981">
        <w:t>Minerals Safeguarding</w:t>
      </w:r>
    </w:p>
    <w:p w:rsidR="007D7308" w:rsidRPr="00495981" w:rsidRDefault="007D7308" w:rsidP="004A6384">
      <w:pPr>
        <w:jc w:val="both"/>
      </w:pPr>
    </w:p>
    <w:p w:rsidR="00F020F8" w:rsidRPr="00495981" w:rsidRDefault="00F020F8" w:rsidP="004A6384">
      <w:pPr>
        <w:jc w:val="both"/>
      </w:pPr>
    </w:p>
    <w:p w:rsidR="00F020F8" w:rsidRPr="00495981" w:rsidRDefault="00495981" w:rsidP="004A6384">
      <w:pPr>
        <w:jc w:val="both"/>
      </w:pPr>
      <w:r w:rsidRPr="00495981">
        <w:t xml:space="preserve">During the second </w:t>
      </w:r>
      <w:r w:rsidR="00F020F8" w:rsidRPr="00495981">
        <w:t>m</w:t>
      </w:r>
      <w:r w:rsidRPr="00495981">
        <w:t xml:space="preserve">onitoring period, the </w:t>
      </w:r>
      <w:r w:rsidR="00F020F8" w:rsidRPr="00495981">
        <w:t xml:space="preserve">requirements </w:t>
      </w:r>
      <w:r w:rsidRPr="00495981">
        <w:t>of the following indicators were</w:t>
      </w:r>
      <w:r w:rsidR="00F020F8" w:rsidRPr="00495981">
        <w:t xml:space="preserve"> met:</w:t>
      </w:r>
    </w:p>
    <w:p w:rsidR="00F020F8" w:rsidRPr="00495981" w:rsidRDefault="00F020F8" w:rsidP="004A6384">
      <w:pPr>
        <w:jc w:val="both"/>
      </w:pPr>
    </w:p>
    <w:p w:rsidR="00F020F8" w:rsidRPr="00495981" w:rsidRDefault="00955FAF" w:rsidP="00F020F8">
      <w:pPr>
        <w:pStyle w:val="ListParagraph"/>
        <w:numPr>
          <w:ilvl w:val="0"/>
          <w:numId w:val="18"/>
        </w:numPr>
        <w:jc w:val="both"/>
      </w:pPr>
      <w:r w:rsidRPr="00495981">
        <w:t xml:space="preserve">The review of the Brecon, Talgarth and Hay-On-Wye Conservation Areas </w:t>
      </w:r>
    </w:p>
    <w:p w:rsidR="00955FAF" w:rsidRPr="00495981" w:rsidRDefault="00955FAF" w:rsidP="00F020F8">
      <w:pPr>
        <w:pStyle w:val="ListParagraph"/>
        <w:numPr>
          <w:ilvl w:val="0"/>
          <w:numId w:val="18"/>
        </w:numPr>
        <w:jc w:val="both"/>
      </w:pPr>
      <w:r w:rsidRPr="00495981">
        <w:t xml:space="preserve">Supplementary Planning Guidance relating to: </w:t>
      </w:r>
    </w:p>
    <w:p w:rsidR="00F020F8" w:rsidRPr="00495981" w:rsidRDefault="00F020F8" w:rsidP="00955FAF">
      <w:pPr>
        <w:pStyle w:val="ListParagraph"/>
        <w:numPr>
          <w:ilvl w:val="1"/>
          <w:numId w:val="18"/>
        </w:numPr>
        <w:jc w:val="both"/>
      </w:pPr>
      <w:r w:rsidRPr="00495981">
        <w:t>The Biodiversity Audit</w:t>
      </w:r>
    </w:p>
    <w:p w:rsidR="00955FAF" w:rsidRPr="00495981" w:rsidRDefault="001756FE" w:rsidP="00955FAF">
      <w:pPr>
        <w:pStyle w:val="ListParagraph"/>
        <w:numPr>
          <w:ilvl w:val="1"/>
          <w:numId w:val="18"/>
        </w:numPr>
        <w:jc w:val="both"/>
      </w:pPr>
      <w:r w:rsidRPr="00495981">
        <w:t>Biodiversity</w:t>
      </w:r>
    </w:p>
    <w:p w:rsidR="00487CA4" w:rsidRDefault="00487CA4" w:rsidP="004A6384">
      <w:pPr>
        <w:jc w:val="both"/>
        <w:rPr>
          <w:color w:val="FF0000"/>
          <w:highlight w:val="yellow"/>
        </w:rPr>
      </w:pPr>
    </w:p>
    <w:p w:rsidR="00F020F8" w:rsidRPr="00487CA4" w:rsidRDefault="00495981" w:rsidP="004A6384">
      <w:pPr>
        <w:jc w:val="both"/>
      </w:pPr>
      <w:r w:rsidRPr="00487CA4">
        <w:t>During the 2016/17 monitoring period, the requirements of the following indicators were met:</w:t>
      </w:r>
    </w:p>
    <w:p w:rsidR="00487CA4" w:rsidRPr="00487CA4" w:rsidRDefault="00487CA4" w:rsidP="00487CA4">
      <w:pPr>
        <w:pStyle w:val="ListParagraph"/>
        <w:numPr>
          <w:ilvl w:val="0"/>
          <w:numId w:val="28"/>
        </w:numPr>
        <w:jc w:val="both"/>
      </w:pPr>
      <w:r w:rsidRPr="00487CA4">
        <w:t>0.75 Hectares of allocated employment land developed</w:t>
      </w:r>
    </w:p>
    <w:p w:rsidR="00495981" w:rsidRPr="00487CA4" w:rsidRDefault="00487CA4" w:rsidP="00487CA4">
      <w:pPr>
        <w:pStyle w:val="ListParagraph"/>
        <w:ind w:left="773"/>
        <w:jc w:val="both"/>
        <w:rPr>
          <w:highlight w:val="yellow"/>
        </w:rPr>
      </w:pPr>
      <w:r w:rsidRPr="00487CA4">
        <w:rPr>
          <w:highlight w:val="yellow"/>
        </w:rPr>
        <w:t xml:space="preserve"> </w:t>
      </w:r>
    </w:p>
    <w:p w:rsidR="00F020F8" w:rsidRPr="00D13A6A" w:rsidRDefault="00F020F8" w:rsidP="004A6384">
      <w:pPr>
        <w:jc w:val="both"/>
      </w:pPr>
    </w:p>
    <w:p w:rsidR="00FB5019" w:rsidRPr="00D13A6A" w:rsidRDefault="00FB5019" w:rsidP="004A6384">
      <w:pPr>
        <w:jc w:val="both"/>
        <w:rPr>
          <w:b/>
          <w:i/>
        </w:rPr>
      </w:pPr>
      <w:r w:rsidRPr="00D13A6A">
        <w:rPr>
          <w:b/>
          <w:i/>
        </w:rPr>
        <w:t>Cease Monitoring</w:t>
      </w:r>
    </w:p>
    <w:p w:rsidR="00BB4051" w:rsidRPr="00D13A6A" w:rsidRDefault="00BB4051" w:rsidP="004A6384">
      <w:pPr>
        <w:jc w:val="both"/>
      </w:pPr>
      <w:r w:rsidRPr="00D13A6A">
        <w:t>It is also recommended</w:t>
      </w:r>
      <w:r w:rsidR="00955FAF" w:rsidRPr="00D13A6A">
        <w:t xml:space="preserve"> during the first monitoring phase</w:t>
      </w:r>
      <w:r w:rsidRPr="00D13A6A">
        <w:t xml:space="preserve"> that monitoring ceases in relat</w:t>
      </w:r>
      <w:r w:rsidR="001D5D0F" w:rsidRPr="00D13A6A">
        <w:t>ion to the following indicator</w:t>
      </w:r>
      <w:r w:rsidRPr="00D13A6A">
        <w:t>:</w:t>
      </w:r>
    </w:p>
    <w:p w:rsidR="001D5D0F" w:rsidRPr="00D13A6A" w:rsidRDefault="001D5D0F" w:rsidP="004A6384">
      <w:pPr>
        <w:jc w:val="both"/>
      </w:pPr>
    </w:p>
    <w:p w:rsidR="00BB4051" w:rsidRPr="00D13A6A" w:rsidRDefault="00BB4051" w:rsidP="00BB4051">
      <w:pPr>
        <w:pStyle w:val="ListParagraph"/>
        <w:numPr>
          <w:ilvl w:val="0"/>
          <w:numId w:val="10"/>
        </w:numPr>
        <w:jc w:val="both"/>
      </w:pPr>
      <w:r w:rsidRPr="00D13A6A">
        <w:t>Number of applications for larger developments that fail to provide 20% of their energy from low or zero carbon resources</w:t>
      </w:r>
    </w:p>
    <w:p w:rsidR="00BB4051" w:rsidRPr="00D13A6A" w:rsidRDefault="00BB4051" w:rsidP="00BB4051">
      <w:pPr>
        <w:jc w:val="both"/>
      </w:pPr>
    </w:p>
    <w:p w:rsidR="001D5D0F" w:rsidRPr="00D13A6A" w:rsidRDefault="001D5D0F" w:rsidP="004A6384">
      <w:pPr>
        <w:jc w:val="both"/>
      </w:pPr>
      <w:r w:rsidRPr="00D13A6A">
        <w:t>I</w:t>
      </w:r>
      <w:r w:rsidR="00955FAF" w:rsidRPr="00D13A6A">
        <w:t>t wa</w:t>
      </w:r>
      <w:r w:rsidR="00295BA5" w:rsidRPr="00D13A6A">
        <w:t>s considered that the low and zero carbon indicator is not an appropriate measuring tool in that it does not relate to any specific policies within the L</w:t>
      </w:r>
      <w:r w:rsidR="0095071A" w:rsidRPr="00D13A6A">
        <w:t xml:space="preserve">ocal </w:t>
      </w:r>
      <w:r w:rsidR="00295BA5" w:rsidRPr="00D13A6A">
        <w:t>D</w:t>
      </w:r>
      <w:r w:rsidR="0095071A" w:rsidRPr="00D13A6A">
        <w:t xml:space="preserve">evelopment </w:t>
      </w:r>
      <w:r w:rsidR="00295BA5" w:rsidRPr="00D13A6A">
        <w:t>P</w:t>
      </w:r>
      <w:r w:rsidR="0095071A" w:rsidRPr="00D13A6A">
        <w:t>lan</w:t>
      </w:r>
      <w:r w:rsidR="00295BA5" w:rsidRPr="00D13A6A">
        <w:t>.  That is, there are no policies or signposts in the L</w:t>
      </w:r>
      <w:r w:rsidRPr="00D13A6A">
        <w:t xml:space="preserve">ocal </w:t>
      </w:r>
      <w:r w:rsidR="00295BA5" w:rsidRPr="00D13A6A">
        <w:t>D</w:t>
      </w:r>
      <w:r w:rsidRPr="00D13A6A">
        <w:t xml:space="preserve">evelopment </w:t>
      </w:r>
      <w:r w:rsidR="00295BA5" w:rsidRPr="00D13A6A">
        <w:t>P</w:t>
      </w:r>
      <w:r w:rsidRPr="00D13A6A">
        <w:t>lan</w:t>
      </w:r>
      <w:r w:rsidR="00295BA5" w:rsidRPr="00D13A6A">
        <w:t xml:space="preserve"> that prompt applicants meet the 20% L</w:t>
      </w:r>
      <w:r w:rsidRPr="00D13A6A">
        <w:t xml:space="preserve">ow </w:t>
      </w:r>
      <w:r w:rsidR="00295BA5" w:rsidRPr="00D13A6A">
        <w:t>Z</w:t>
      </w:r>
      <w:r w:rsidRPr="00D13A6A">
        <w:t xml:space="preserve">ero </w:t>
      </w:r>
      <w:r w:rsidR="00295BA5" w:rsidRPr="00D13A6A">
        <w:t>C</w:t>
      </w:r>
      <w:r w:rsidRPr="00D13A6A">
        <w:t>arbon</w:t>
      </w:r>
      <w:r w:rsidR="00295BA5" w:rsidRPr="00D13A6A">
        <w:t xml:space="preserve"> energy target.  </w:t>
      </w:r>
    </w:p>
    <w:p w:rsidR="001D5D0F" w:rsidRPr="00D13A6A" w:rsidRDefault="001D5D0F" w:rsidP="004A6384">
      <w:pPr>
        <w:jc w:val="both"/>
      </w:pPr>
    </w:p>
    <w:p w:rsidR="00BB4051" w:rsidRPr="00D13A6A" w:rsidRDefault="001D5D0F" w:rsidP="004A6384">
      <w:pPr>
        <w:jc w:val="both"/>
      </w:pPr>
      <w:r w:rsidRPr="00D13A6A">
        <w:t xml:space="preserve">This indicator arose as a result of the requirements of Policy SP11 (Sustainable Development) as it was originally drafted in the Deposit Local Development Plan.  However, this specific requirement was removed from the policy by the Inspector during the Local Development Plan Examination on the basis that it was beyond the requirements of National Planning Policy.  The indicator remains in the Monitoring Framework by error as it was not </w:t>
      </w:r>
      <w:r w:rsidRPr="00D13A6A">
        <w:lastRenderedPageBreak/>
        <w:t>picked up during the editing process and amended by way of</w:t>
      </w:r>
      <w:r w:rsidR="00955FAF" w:rsidRPr="00D13A6A">
        <w:t xml:space="preserve"> the Matters Arising Changes.  </w:t>
      </w:r>
      <w:r w:rsidR="00295BA5" w:rsidRPr="00D13A6A">
        <w:t>Nevertheless, numerous Climate Change, Sustainable Design and Ren</w:t>
      </w:r>
      <w:r w:rsidR="00955FAF" w:rsidRPr="00D13A6A">
        <w:t>ewable Energy indicators have</w:t>
      </w:r>
      <w:r w:rsidR="00295BA5" w:rsidRPr="00D13A6A">
        <w:t xml:space="preserve"> continue</w:t>
      </w:r>
      <w:r w:rsidR="00955FAF" w:rsidRPr="00D13A6A">
        <w:t>d</w:t>
      </w:r>
      <w:r w:rsidR="00295BA5" w:rsidRPr="00D13A6A">
        <w:t xml:space="preserve"> to be monitored in addition to the monitoring requirements of the S</w:t>
      </w:r>
      <w:r w:rsidRPr="00D13A6A">
        <w:t xml:space="preserve">trategic </w:t>
      </w:r>
      <w:r w:rsidR="00295BA5" w:rsidRPr="00D13A6A">
        <w:t>E</w:t>
      </w:r>
      <w:r w:rsidRPr="00D13A6A">
        <w:t xml:space="preserve">nvironmental </w:t>
      </w:r>
      <w:r w:rsidR="00295BA5" w:rsidRPr="00D13A6A">
        <w:t>A</w:t>
      </w:r>
      <w:r w:rsidRPr="00D13A6A">
        <w:t>ssessment</w:t>
      </w:r>
      <w:r w:rsidR="00295BA5" w:rsidRPr="00D13A6A">
        <w:t>.</w:t>
      </w:r>
    </w:p>
    <w:p w:rsidR="00955FAF" w:rsidRPr="00D13A6A" w:rsidRDefault="00955FAF" w:rsidP="004A6384">
      <w:pPr>
        <w:jc w:val="both"/>
      </w:pPr>
    </w:p>
    <w:p w:rsidR="00955FAF" w:rsidRDefault="00D13A6A" w:rsidP="004A6384">
      <w:pPr>
        <w:jc w:val="both"/>
      </w:pPr>
      <w:r w:rsidRPr="00D13A6A">
        <w:t>For the second</w:t>
      </w:r>
      <w:r w:rsidR="0063797B">
        <w:t xml:space="preserve"> and third</w:t>
      </w:r>
      <w:r w:rsidRPr="00D13A6A">
        <w:t xml:space="preserve"> monitoring</w:t>
      </w:r>
      <w:r w:rsidR="0063797B">
        <w:t xml:space="preserve"> </w:t>
      </w:r>
      <w:r w:rsidRPr="00D13A6A">
        <w:t>phase</w:t>
      </w:r>
      <w:r w:rsidR="0063797B">
        <w:t>s</w:t>
      </w:r>
      <w:r w:rsidRPr="00D13A6A">
        <w:t>, it wa</w:t>
      </w:r>
      <w:r w:rsidR="00955FAF" w:rsidRPr="00D13A6A">
        <w:t>s recom</w:t>
      </w:r>
      <w:r w:rsidRPr="00D13A6A">
        <w:t>mended that monitoring continued</w:t>
      </w:r>
      <w:r w:rsidR="00955FAF" w:rsidRPr="00D13A6A">
        <w:t xml:space="preserve"> on all of the relevant indicators (save for those where the requirements are complete as set out above).</w:t>
      </w:r>
    </w:p>
    <w:p w:rsidR="00BB4051" w:rsidRPr="00D13A6A" w:rsidRDefault="00BB4051" w:rsidP="004A6384">
      <w:pPr>
        <w:jc w:val="both"/>
      </w:pPr>
    </w:p>
    <w:p w:rsidR="00FB5019" w:rsidRPr="00D13A6A" w:rsidRDefault="00FB5019" w:rsidP="004A6384">
      <w:pPr>
        <w:jc w:val="both"/>
      </w:pPr>
    </w:p>
    <w:p w:rsidR="00FB5019" w:rsidRPr="00D13A6A" w:rsidRDefault="00FB5019" w:rsidP="004A6384">
      <w:pPr>
        <w:jc w:val="both"/>
        <w:rPr>
          <w:b/>
          <w:i/>
        </w:rPr>
      </w:pPr>
      <w:r w:rsidRPr="00D13A6A">
        <w:rPr>
          <w:b/>
          <w:i/>
        </w:rPr>
        <w:t xml:space="preserve">Future Monitoring and Additional Work </w:t>
      </w:r>
    </w:p>
    <w:p w:rsidR="00D13A6A" w:rsidRPr="00D13A6A" w:rsidRDefault="00D13A6A" w:rsidP="004A6384">
      <w:pPr>
        <w:jc w:val="both"/>
        <w:rPr>
          <w:i/>
        </w:rPr>
      </w:pPr>
      <w:r w:rsidRPr="00D13A6A">
        <w:rPr>
          <w:i/>
        </w:rPr>
        <w:t>Work Arising from Previous Monitoring Periods</w:t>
      </w:r>
    </w:p>
    <w:p w:rsidR="00FB5019" w:rsidRPr="00C40DF5" w:rsidRDefault="002A0D49" w:rsidP="004A6384">
      <w:pPr>
        <w:jc w:val="both"/>
      </w:pPr>
      <w:r w:rsidRPr="00D13A6A">
        <w:t>Following the first monitoring phase</w:t>
      </w:r>
      <w:r w:rsidR="00BB4051" w:rsidRPr="00D13A6A">
        <w:t xml:space="preserve"> </w:t>
      </w:r>
      <w:r w:rsidRPr="00D13A6A">
        <w:t xml:space="preserve">it was determined that </w:t>
      </w:r>
      <w:r w:rsidR="00BB4051" w:rsidRPr="00D13A6A">
        <w:t>t</w:t>
      </w:r>
      <w:r w:rsidR="00C64563" w:rsidRPr="00D13A6A">
        <w:t xml:space="preserve">he </w:t>
      </w:r>
      <w:r w:rsidR="00FB5019" w:rsidRPr="00D13A6A">
        <w:t xml:space="preserve">vast </w:t>
      </w:r>
      <w:r w:rsidR="00C64563" w:rsidRPr="00D13A6A">
        <w:t>majority of the indicators, as required by the L</w:t>
      </w:r>
      <w:r w:rsidR="0095071A" w:rsidRPr="00D13A6A">
        <w:t xml:space="preserve">ocal </w:t>
      </w:r>
      <w:r w:rsidR="00C64563" w:rsidRPr="00D13A6A">
        <w:t>D</w:t>
      </w:r>
      <w:r w:rsidR="0095071A" w:rsidRPr="00D13A6A">
        <w:t xml:space="preserve">evelopment </w:t>
      </w:r>
      <w:r w:rsidR="00C64563" w:rsidRPr="00D13A6A">
        <w:t>P</w:t>
      </w:r>
      <w:r w:rsidR="0095071A" w:rsidRPr="00D13A6A">
        <w:t>lan</w:t>
      </w:r>
      <w:r w:rsidR="00C64563" w:rsidRPr="00D13A6A">
        <w:t xml:space="preserve"> Monitoring Framework, will continue to be mo</w:t>
      </w:r>
      <w:r w:rsidR="007D7308" w:rsidRPr="00D13A6A">
        <w:t>nitored</w:t>
      </w:r>
      <w:r w:rsidR="00C64563" w:rsidRPr="00D13A6A">
        <w:t>.</w:t>
      </w:r>
      <w:r w:rsidR="00EA791E" w:rsidRPr="00D13A6A">
        <w:t xml:space="preserve">  Of these, there were</w:t>
      </w:r>
      <w:r w:rsidR="00FB5019" w:rsidRPr="00D13A6A">
        <w:t xml:space="preserve"> a small number that require</w:t>
      </w:r>
      <w:r w:rsidR="00EA791E" w:rsidRPr="00D13A6A">
        <w:t>d</w:t>
      </w:r>
      <w:r w:rsidR="00FB5019" w:rsidRPr="00D13A6A">
        <w:t xml:space="preserve"> some additional work in the form of policy research, Supplementary Planning Guidance and Officer/Member training</w:t>
      </w:r>
      <w:r w:rsidR="007A19AB" w:rsidRPr="00D13A6A">
        <w:t xml:space="preserve"> which was carried out during the second monitoring phase</w:t>
      </w:r>
      <w:r w:rsidR="00FB5019" w:rsidRPr="00D13A6A">
        <w:t>.</w:t>
      </w:r>
    </w:p>
    <w:p w:rsidR="00D13A6A" w:rsidRPr="00C40DF5" w:rsidRDefault="00D13A6A" w:rsidP="004A6384">
      <w:pPr>
        <w:jc w:val="both"/>
      </w:pPr>
    </w:p>
    <w:p w:rsidR="00D13A6A" w:rsidRPr="00C40DF5" w:rsidRDefault="00D13A6A" w:rsidP="00D13A6A">
      <w:pPr>
        <w:jc w:val="both"/>
      </w:pPr>
      <w:r w:rsidRPr="00C40DF5">
        <w:t xml:space="preserve">The first indicator requiring additional policy research relates to the </w:t>
      </w:r>
      <w:r w:rsidRPr="00C40DF5">
        <w:rPr>
          <w:b/>
        </w:rPr>
        <w:t>number of consents granted and dwellings completed annually.</w:t>
      </w:r>
      <w:r w:rsidRPr="00C40DF5">
        <w:t xml:space="preserve">  </w:t>
      </w:r>
    </w:p>
    <w:p w:rsidR="00D13A6A" w:rsidRPr="00C40DF5" w:rsidRDefault="00D13A6A" w:rsidP="00D13A6A">
      <w:pPr>
        <w:jc w:val="both"/>
      </w:pPr>
    </w:p>
    <w:p w:rsidR="00D13A6A" w:rsidRPr="00C40DF5" w:rsidRDefault="00D13A6A" w:rsidP="00D13A6A">
      <w:pPr>
        <w:jc w:val="both"/>
      </w:pPr>
      <w:r w:rsidRPr="00C40DF5">
        <w:t>Some comparison research with other Local Planning Authorities</w:t>
      </w:r>
      <w:r w:rsidR="00C40DF5" w:rsidRPr="00C40DF5">
        <w:t xml:space="preserve"> at the time</w:t>
      </w:r>
      <w:r w:rsidRPr="00C40DF5">
        <w:t xml:space="preserve"> into the delivery of housing will be beneficial in terms of providing a wider context and an understanding of the issues across Wales.  A study of the Constituent Authorities together with the other two National Park Authorities should provide an appropriately wide sample.  Whilst this has not been carried out as described to date, analysis of the availability of land for hou</w:t>
      </w:r>
      <w:r w:rsidR="00C40DF5">
        <w:t>sing delivery across Wales showed</w:t>
      </w:r>
      <w:r w:rsidRPr="00C40DF5">
        <w:t xml:space="preserve"> that 17</w:t>
      </w:r>
      <w:r w:rsidR="00C40DF5">
        <w:t xml:space="preserve"> of the 25 Planning Authority did</w:t>
      </w:r>
      <w:r w:rsidRPr="00C40DF5">
        <w:t xml:space="preserve"> not</w:t>
      </w:r>
      <w:r w:rsidR="00C40DF5">
        <w:t xml:space="preserve"> at that time</w:t>
      </w:r>
      <w:r w:rsidRPr="00C40DF5">
        <w:t xml:space="preserve"> have a 5 year supply (with the Wales average being 3.9 years supply).  Given that 22 </w:t>
      </w:r>
      <w:r w:rsidR="00C40DF5">
        <w:t>of the 25 Authorities had</w:t>
      </w:r>
      <w:r w:rsidRPr="00C40DF5">
        <w:t xml:space="preserve"> a current development plan </w:t>
      </w:r>
      <w:r w:rsidR="00C40DF5">
        <w:t xml:space="preserve">at the time </w:t>
      </w:r>
      <w:r w:rsidRPr="00C40DF5">
        <w:t>(not all of which are Local D</w:t>
      </w:r>
      <w:r w:rsidR="00C40DF5">
        <w:t>evelopment Plans), this suggested that there wa</w:t>
      </w:r>
      <w:r w:rsidRPr="00C40DF5">
        <w:t>s a widespread issue with regard to housing delivery.</w:t>
      </w:r>
    </w:p>
    <w:p w:rsidR="00D13A6A" w:rsidRPr="00C40DF5" w:rsidRDefault="00D13A6A" w:rsidP="00D13A6A">
      <w:pPr>
        <w:jc w:val="both"/>
      </w:pPr>
    </w:p>
    <w:p w:rsidR="00D13A6A" w:rsidRPr="00C40DF5" w:rsidRDefault="00D13A6A" w:rsidP="00D13A6A">
      <w:pPr>
        <w:jc w:val="both"/>
      </w:pPr>
      <w:r w:rsidRPr="00C40DF5">
        <w:lastRenderedPageBreak/>
        <w:t>Following the first phase of monitoring it was reasonable to suggest that the implementation of the Local Development Plan’s Strategy was progressing well.   Whilst it is acknowledged that this was the first Annual Monitoring Report for the Local Development Plan and that a number of allocated sites are being progressed, the speed of this progression and the number of sites not progressed to the application stage should be noted.  Accordingly, further investigation to determine the reasons why 8 of the 14 allocations for the first 5 years of the plan period have not been progressed was recommended to be undertaken.  Accordingly, officers made direct contact with the landowners with a view to receiving and update as well as taking the opportunity to advise them that the Authority will consider the removal of their site from the Local Development Plan during the Review, if it is not progressed during the first 5 years of the plan period.  Officers were advised by the relevant landowners that the sites will be progressed in the near future and, in fact, one application was subsequently submitted</w:t>
      </w:r>
      <w:r w:rsidR="00C40DF5" w:rsidRPr="00C40DF5">
        <w:t xml:space="preserve"> during the second monitoring period</w:t>
      </w:r>
      <w:r w:rsidRPr="00C40DF5">
        <w:t>.</w:t>
      </w:r>
    </w:p>
    <w:p w:rsidR="00D13A6A" w:rsidRPr="00C40DF5" w:rsidRDefault="00D13A6A" w:rsidP="00D13A6A">
      <w:pPr>
        <w:jc w:val="both"/>
      </w:pPr>
    </w:p>
    <w:p w:rsidR="00D13A6A" w:rsidRPr="00C40DF5" w:rsidRDefault="00D13A6A" w:rsidP="00D13A6A">
      <w:pPr>
        <w:jc w:val="both"/>
      </w:pPr>
      <w:r w:rsidRPr="00C40DF5">
        <w:t xml:space="preserve">Turning to the indicator requiring </w:t>
      </w:r>
      <w:r w:rsidRPr="00C40DF5">
        <w:rPr>
          <w:b/>
        </w:rPr>
        <w:t>all applications granted planning consent to achieve a density of 30 dwellings per hectare</w:t>
      </w:r>
      <w:r w:rsidRPr="00C40DF5">
        <w:t>, some additional policy research into the following was required following the first monitoring period:</w:t>
      </w:r>
    </w:p>
    <w:p w:rsidR="00D13A6A" w:rsidRPr="00C40DF5" w:rsidRDefault="00D13A6A" w:rsidP="00D13A6A">
      <w:pPr>
        <w:pStyle w:val="ListParagraph"/>
        <w:numPr>
          <w:ilvl w:val="0"/>
          <w:numId w:val="11"/>
        </w:numPr>
        <w:jc w:val="both"/>
      </w:pPr>
      <w:r w:rsidRPr="00C40DF5">
        <w:t>The number of allocated sites (specifically) that have been granted planning permission at a density below 30 dwellings per hectare; and</w:t>
      </w:r>
    </w:p>
    <w:p w:rsidR="00D13A6A" w:rsidRPr="00C40DF5" w:rsidRDefault="00D13A6A" w:rsidP="00D13A6A">
      <w:pPr>
        <w:pStyle w:val="ListParagraph"/>
        <w:numPr>
          <w:ilvl w:val="0"/>
          <w:numId w:val="11"/>
        </w:numPr>
        <w:jc w:val="both"/>
      </w:pPr>
      <w:r w:rsidRPr="00C40DF5">
        <w:t>Determine specific reasoning for allowing a lower density.</w:t>
      </w:r>
    </w:p>
    <w:p w:rsidR="00D13A6A" w:rsidRPr="00C40DF5" w:rsidRDefault="00D13A6A" w:rsidP="00D13A6A">
      <w:pPr>
        <w:jc w:val="both"/>
      </w:pPr>
    </w:p>
    <w:p w:rsidR="00D13A6A" w:rsidRPr="00C40DF5" w:rsidRDefault="00D13A6A" w:rsidP="00D13A6A">
      <w:pPr>
        <w:jc w:val="both"/>
      </w:pPr>
      <w:r w:rsidRPr="00C40DF5">
        <w:t>As referred to above, the provision of additional training and Supplementary Planning Guidance was recommended in relation to this particular issue.  This, however, was be dependant of the results yielded from the suggested research.</w:t>
      </w:r>
    </w:p>
    <w:p w:rsidR="00D13A6A" w:rsidRPr="00C40DF5" w:rsidRDefault="00D13A6A" w:rsidP="00D13A6A">
      <w:pPr>
        <w:jc w:val="both"/>
      </w:pPr>
    </w:p>
    <w:p w:rsidR="00D13A6A" w:rsidRPr="00C40DF5" w:rsidRDefault="00D13A6A" w:rsidP="00D13A6A">
      <w:pPr>
        <w:jc w:val="both"/>
      </w:pPr>
      <w:r w:rsidRPr="00C40DF5">
        <w:t xml:space="preserve">The research found that the policy was being implemented correctly by officers.  Nevertheless, officer training was provided by the Strategy and Policy team to ensure that all officers (particularly new members of staff) were aware of the potential implications to the LDP. </w:t>
      </w:r>
    </w:p>
    <w:p w:rsidR="00D13A6A" w:rsidRPr="00C40DF5" w:rsidRDefault="00D13A6A" w:rsidP="00D13A6A">
      <w:pPr>
        <w:jc w:val="both"/>
      </w:pPr>
    </w:p>
    <w:p w:rsidR="00D13A6A" w:rsidRPr="00C40DF5" w:rsidRDefault="00D13A6A" w:rsidP="00D13A6A">
      <w:pPr>
        <w:jc w:val="both"/>
      </w:pPr>
      <w:r w:rsidRPr="00C40DF5">
        <w:t xml:space="preserve">The final indicator requiring additional policy research following the first phase of monitoring was the Affordable Housing percentage contribution targets for the three sub-market areas </w:t>
      </w:r>
      <w:r w:rsidRPr="00C40DF5">
        <w:lastRenderedPageBreak/>
        <w:t>within the National Park.  Raw data derived from the Land Registry and Development Appraisal Toolkit suggested that land values have increased since the adoption of the Local Development Plan.  Given the potential positive effects in relation to the viability of developments, it would be prudent for the Authority to undertake additional viability testing with a  view to modifying the Affordable Housing contribution targets (if appropriate) during the first Review stage.</w:t>
      </w:r>
    </w:p>
    <w:p w:rsidR="00D13A6A" w:rsidRPr="00C40DF5" w:rsidRDefault="00D13A6A" w:rsidP="00D13A6A">
      <w:pPr>
        <w:jc w:val="both"/>
      </w:pPr>
    </w:p>
    <w:p w:rsidR="00D13A6A" w:rsidRPr="00C40DF5" w:rsidRDefault="00D13A6A" w:rsidP="00D13A6A">
      <w:pPr>
        <w:jc w:val="both"/>
      </w:pPr>
      <w:r w:rsidRPr="00C40DF5">
        <w:t>As a result of the second monitoring phase, further policy research was recommended in relation to the following indicators:</w:t>
      </w:r>
    </w:p>
    <w:p w:rsidR="00D13A6A" w:rsidRPr="00C40DF5" w:rsidRDefault="00D13A6A" w:rsidP="00D13A6A">
      <w:pPr>
        <w:jc w:val="both"/>
      </w:pPr>
    </w:p>
    <w:p w:rsidR="00D13A6A" w:rsidRPr="00C40DF5" w:rsidRDefault="00D13A6A" w:rsidP="00D13A6A">
      <w:pPr>
        <w:pStyle w:val="ListParagraph"/>
        <w:numPr>
          <w:ilvl w:val="0"/>
          <w:numId w:val="20"/>
        </w:numPr>
        <w:jc w:val="both"/>
      </w:pPr>
      <w:r w:rsidRPr="00C40DF5">
        <w:t>Number of consents granted and completions of dwellings annually</w:t>
      </w:r>
    </w:p>
    <w:p w:rsidR="00D13A6A" w:rsidRPr="00C40DF5" w:rsidRDefault="00D13A6A" w:rsidP="00D13A6A">
      <w:pPr>
        <w:pStyle w:val="ListParagraph"/>
        <w:numPr>
          <w:ilvl w:val="0"/>
          <w:numId w:val="20"/>
        </w:numPr>
        <w:jc w:val="both"/>
      </w:pPr>
      <w:r w:rsidRPr="00C40DF5">
        <w:t>Dwelling density</w:t>
      </w:r>
    </w:p>
    <w:p w:rsidR="00D13A6A" w:rsidRPr="00C40DF5" w:rsidRDefault="00D13A6A" w:rsidP="00D13A6A">
      <w:pPr>
        <w:pStyle w:val="ListParagraph"/>
        <w:numPr>
          <w:ilvl w:val="0"/>
          <w:numId w:val="20"/>
        </w:numPr>
        <w:jc w:val="both"/>
      </w:pPr>
      <w:r w:rsidRPr="00C40DF5">
        <w:t>Affordable Housing contribution percentage</w:t>
      </w:r>
    </w:p>
    <w:p w:rsidR="00D13A6A" w:rsidRPr="00C40DF5" w:rsidRDefault="00D13A6A" w:rsidP="00D13A6A">
      <w:pPr>
        <w:pStyle w:val="ListParagraph"/>
        <w:numPr>
          <w:ilvl w:val="0"/>
          <w:numId w:val="20"/>
        </w:numPr>
        <w:jc w:val="both"/>
      </w:pPr>
      <w:r w:rsidRPr="00C40DF5">
        <w:t>Development with an adverse impact on heritage assets</w:t>
      </w:r>
    </w:p>
    <w:p w:rsidR="00FB5019" w:rsidRDefault="00FB5019" w:rsidP="004A6384">
      <w:pPr>
        <w:jc w:val="both"/>
        <w:rPr>
          <w:color w:val="FF0000"/>
        </w:rPr>
      </w:pPr>
    </w:p>
    <w:p w:rsidR="00141F26" w:rsidRPr="00141F26" w:rsidRDefault="00C40DF5" w:rsidP="00141F26">
      <w:r w:rsidRPr="00C40DF5">
        <w:t xml:space="preserve">The annual indicators suggest that </w:t>
      </w:r>
      <w:r w:rsidRPr="00C40DF5">
        <w:rPr>
          <w:b/>
        </w:rPr>
        <w:t>housing completions</w:t>
      </w:r>
      <w:r w:rsidRPr="00C40DF5">
        <w:t xml:space="preserve"> are not up to the level required.  Accordingly, some further research and investigation is required in the form of undertaking comparison research with other Local Planning </w:t>
      </w:r>
      <w:r w:rsidRPr="00141F26">
        <w:t xml:space="preserve">Authorities into the delivery of housing.  Whilst some research has already been carried out as set out above, it is considered that more specific research is required </w:t>
      </w:r>
      <w:r w:rsidR="00141F26" w:rsidRPr="00141F26">
        <w:t>in relation to housing</w:t>
      </w:r>
      <w:r w:rsidRPr="00141F26">
        <w:t xml:space="preserve"> </w:t>
      </w:r>
      <w:r w:rsidR="00141F26" w:rsidRPr="00141F26">
        <w:t xml:space="preserve">delivery </w:t>
      </w:r>
      <w:r w:rsidRPr="00141F26">
        <w:t xml:space="preserve">across other comparable authority areas.  </w:t>
      </w:r>
      <w:r w:rsidR="00141F26" w:rsidRPr="00141F26">
        <w:t>To this end, the 2016 Joint Housing Land Availability Studies across Wales show that as at 1 April 2016 19 out of the twenty-five local planning authorities were unable to demonstrate a five year housing land supply.  By comparison, 17 local planning authorities were unable to demonstrate a five year housing land supply in 2015, all of which remain without a five year supply in 2016.   Furthermore, 16 local planning authorities have had less than five years housing land supply for three or more consecutive years.</w:t>
      </w:r>
    </w:p>
    <w:p w:rsidR="00141F26" w:rsidRPr="00141F26" w:rsidRDefault="00141F26" w:rsidP="00141F26">
      <w:pPr>
        <w:jc w:val="both"/>
      </w:pPr>
    </w:p>
    <w:p w:rsidR="00141F26" w:rsidRPr="00141F26" w:rsidRDefault="00141F26" w:rsidP="00141F26">
      <w:pPr>
        <w:jc w:val="both"/>
      </w:pPr>
      <w:r w:rsidRPr="00141F26">
        <w:t xml:space="preserve">To this end, it is clear that difficulties in relation to housing delivery is a national issue and not exclusive to the Brecon Beacons National Park Area.  Indeed, the figures for 2016 show that housing land supply as reported in Joint Housing Land Availability Study reports has declined for many LPAs, including for some with recently adopted Local Development Plans. </w:t>
      </w:r>
      <w:r w:rsidRPr="00141F26">
        <w:lastRenderedPageBreak/>
        <w:t>Research commissioned by the Welsh Government (Longitudinal viability study of the planning process undertaken by Arcadis (UK) Ltd) indicates that one of the main reasons is the allocation of sites for housing which are essentially undeliverable or only likely to come forward at later stages of the LDP period. Viability was identified as a key reason for delays in delivery, covering issues such as affordable housing requirements, sites being located in low value market areas, poor quality sites or specific infrastructure requirements.</w:t>
      </w:r>
    </w:p>
    <w:p w:rsidR="00C40DF5" w:rsidRPr="00C40DF5" w:rsidRDefault="00C40DF5" w:rsidP="00C40DF5">
      <w:pPr>
        <w:jc w:val="both"/>
      </w:pPr>
    </w:p>
    <w:p w:rsidR="00C40DF5" w:rsidRPr="007E1A01" w:rsidRDefault="00C40DF5" w:rsidP="00C40DF5">
      <w:pPr>
        <w:jc w:val="both"/>
        <w:rPr>
          <w:color w:val="FF0000"/>
        </w:rPr>
      </w:pPr>
    </w:p>
    <w:p w:rsidR="00C40DF5" w:rsidRPr="00C40DF5" w:rsidRDefault="00C40DF5" w:rsidP="00C40DF5">
      <w:pPr>
        <w:jc w:val="both"/>
      </w:pPr>
      <w:r w:rsidRPr="00C40DF5">
        <w:t xml:space="preserve">The </w:t>
      </w:r>
      <w:r w:rsidRPr="00C40DF5">
        <w:rPr>
          <w:b/>
        </w:rPr>
        <w:t>dwelling density</w:t>
      </w:r>
      <w:r w:rsidRPr="00C40DF5">
        <w:t xml:space="preserve"> indicator again suggests that this policy is not wholly being implemented so far as in that not all sites are being developed at a rate of 30 dwellings per hectare.  Of course, it is noted that there is flexibility within the policy that allows development to take place at a density below 30 dwellings per hectare but is </w:t>
      </w:r>
      <w:r w:rsidRPr="00EE4D8C">
        <w:t>would, nevertheless, be prudent to undertake some further research to determine the specific reasons for allowing a lower level of dwelling density.  The result of this research showed</w:t>
      </w:r>
      <w:r w:rsidR="00EE4D8C" w:rsidRPr="00EE4D8C">
        <w:t xml:space="preserve"> that, once again, the policy is being implemented appropriately.  In each case, the lower density provision could be justified by on site environmental constraints and/or local patterns in relation to layout and density.</w:t>
      </w:r>
    </w:p>
    <w:p w:rsidR="00C40DF5" w:rsidRPr="007E1A01" w:rsidRDefault="00C40DF5" w:rsidP="00C40DF5">
      <w:pPr>
        <w:jc w:val="both"/>
        <w:rPr>
          <w:color w:val="FF0000"/>
        </w:rPr>
      </w:pPr>
    </w:p>
    <w:p w:rsidR="00C40DF5" w:rsidRPr="00E20A5D" w:rsidRDefault="00C40DF5" w:rsidP="00C40DF5">
      <w:pPr>
        <w:jc w:val="both"/>
      </w:pPr>
      <w:r w:rsidRPr="002054E4">
        <w:t xml:space="preserve">With regard to the </w:t>
      </w:r>
      <w:r w:rsidRPr="002054E4">
        <w:rPr>
          <w:b/>
        </w:rPr>
        <w:t>Affordable Housing contribution target</w:t>
      </w:r>
      <w:r w:rsidRPr="002054E4">
        <w:t xml:space="preserve"> percentage, the Land Registry data, together with the Development Appraisal Toolkit data, suggests a significant overall increase in house prices in the Heads of the Valleys area, albeit a reduction in 2015/16.  Accordingly, it would be prudent for the Authority to consider additional viability testing with a view to modifying the Affordable Housing contribution targets (if appropriate) during the Review of the Local Development Plan.</w:t>
      </w:r>
      <w:r w:rsidR="002054E4">
        <w:t xml:space="preserve">  It should be noted that this work has commenced as the Authority has commissioned Dr Andrew Golland to carry out the necessary viability testing for the entire National Park Area.  It is envisaged that this </w:t>
      </w:r>
      <w:r w:rsidR="002054E4" w:rsidRPr="00E20A5D">
        <w:t xml:space="preserve">work will be completed in readiness for the Authority </w:t>
      </w:r>
    </w:p>
    <w:p w:rsidR="00C40DF5" w:rsidRPr="00E20A5D" w:rsidRDefault="00C40DF5" w:rsidP="00C40DF5">
      <w:pPr>
        <w:jc w:val="both"/>
      </w:pPr>
    </w:p>
    <w:p w:rsidR="00C40DF5" w:rsidRPr="00E20A5D" w:rsidRDefault="00C40DF5" w:rsidP="00C40DF5">
      <w:pPr>
        <w:jc w:val="both"/>
      </w:pPr>
      <w:r w:rsidRPr="00E20A5D">
        <w:t xml:space="preserve">Clearly, the requirements of the </w:t>
      </w:r>
      <w:r w:rsidRPr="00E20A5D">
        <w:rPr>
          <w:b/>
        </w:rPr>
        <w:t>‘development with an adverse impact on heritage assets’</w:t>
      </w:r>
      <w:r w:rsidRPr="00E20A5D">
        <w:t xml:space="preserve"> indicator are not wholly being met.  Accordingly, further investigation is required into planning permission reference 15/12267/FUL and Advertisement Consent 15/12591/ADV to ascertain the particular circumstances of each case.  </w:t>
      </w:r>
      <w:r w:rsidR="00EE4D8C">
        <w:t xml:space="preserve">It was determined in both instances that </w:t>
      </w:r>
      <w:r w:rsidR="00EE4D8C">
        <w:lastRenderedPageBreak/>
        <w:t>no additional officer training wa</w:t>
      </w:r>
      <w:r w:rsidRPr="00E20A5D">
        <w:t>s required in relation to this indicator</w:t>
      </w:r>
      <w:r w:rsidR="00EE4D8C">
        <w:t xml:space="preserve"> given that the issues raised were very minor</w:t>
      </w:r>
      <w:r w:rsidRPr="00E20A5D">
        <w:t xml:space="preserve">. </w:t>
      </w:r>
    </w:p>
    <w:p w:rsidR="00C40DF5" w:rsidRPr="007E1A01" w:rsidRDefault="00C40DF5" w:rsidP="004A6384">
      <w:pPr>
        <w:jc w:val="both"/>
        <w:rPr>
          <w:color w:val="FF0000"/>
        </w:rPr>
      </w:pPr>
    </w:p>
    <w:p w:rsidR="00C35F3E" w:rsidRPr="00E20A5D" w:rsidRDefault="00FB5019" w:rsidP="004A6384">
      <w:pPr>
        <w:jc w:val="both"/>
        <w:rPr>
          <w:i/>
        </w:rPr>
      </w:pPr>
      <w:r w:rsidRPr="00E20A5D">
        <w:rPr>
          <w:i/>
        </w:rPr>
        <w:t>Policy Research</w:t>
      </w:r>
      <w:r w:rsidR="00E20A5D" w:rsidRPr="00E20A5D">
        <w:rPr>
          <w:i/>
        </w:rPr>
        <w:t xml:space="preserve"> Arising from the 2016/17 Monitoring Period</w:t>
      </w:r>
    </w:p>
    <w:p w:rsidR="00E20A5D" w:rsidRDefault="00E20A5D" w:rsidP="004A6384">
      <w:pPr>
        <w:jc w:val="both"/>
      </w:pPr>
      <w:r w:rsidRPr="00E20A5D">
        <w:t>As a result of the third monitoring period,</w:t>
      </w:r>
      <w:r>
        <w:t xml:space="preserve"> it was determined that further policy research was required in relation to the following indicators:</w:t>
      </w:r>
    </w:p>
    <w:p w:rsidR="00E20A5D" w:rsidRDefault="00740AA4" w:rsidP="00E20A5D">
      <w:pPr>
        <w:pStyle w:val="ListParagraph"/>
        <w:numPr>
          <w:ilvl w:val="0"/>
          <w:numId w:val="25"/>
        </w:numPr>
        <w:jc w:val="both"/>
      </w:pPr>
      <w:r>
        <w:t>Number of consents granted and dwellings completed annually</w:t>
      </w:r>
    </w:p>
    <w:p w:rsidR="00740AA4" w:rsidRDefault="00740AA4" w:rsidP="00E20A5D">
      <w:pPr>
        <w:pStyle w:val="ListParagraph"/>
        <w:numPr>
          <w:ilvl w:val="0"/>
          <w:numId w:val="25"/>
        </w:numPr>
        <w:jc w:val="both"/>
      </w:pPr>
      <w:r>
        <w:t>Number of units granted and completed in each settlement tier</w:t>
      </w:r>
    </w:p>
    <w:p w:rsidR="00740AA4" w:rsidRPr="00FC34AB" w:rsidRDefault="00740AA4" w:rsidP="0063797B">
      <w:pPr>
        <w:pStyle w:val="ListParagraph"/>
        <w:numPr>
          <w:ilvl w:val="0"/>
          <w:numId w:val="25"/>
        </w:numPr>
        <w:jc w:val="both"/>
      </w:pPr>
      <w:r>
        <w:t xml:space="preserve">All applications </w:t>
      </w:r>
      <w:r w:rsidRPr="00FC34AB">
        <w:t>granted planning consent to achieve a density of 30 dwellings per hectare</w:t>
      </w:r>
    </w:p>
    <w:p w:rsidR="00740AA4" w:rsidRPr="00FC34AB" w:rsidRDefault="00740AA4" w:rsidP="00740AA4">
      <w:pPr>
        <w:jc w:val="both"/>
      </w:pPr>
    </w:p>
    <w:p w:rsidR="00B91410" w:rsidRPr="00FC34AB" w:rsidRDefault="00740AA4" w:rsidP="00D3776A">
      <w:pPr>
        <w:jc w:val="both"/>
      </w:pPr>
      <w:r w:rsidRPr="00FC34AB">
        <w:t>The annual indicators suggest that housing completions are not up to the level required.  Further resea</w:t>
      </w:r>
      <w:r w:rsidR="00FC34AB" w:rsidRPr="00FC34AB">
        <w:t>rch and investigation is therefore required in the form of the c</w:t>
      </w:r>
      <w:r w:rsidRPr="00FC34AB">
        <w:t>ontinuation of comparison research with other Local Planning Authorities into the delivery of housing</w:t>
      </w:r>
      <w:r w:rsidR="00FC34AB" w:rsidRPr="00FC34AB">
        <w:t>.  It should also be noted that work has been commissioned by the Authority in relation to ‘Housing Need’ scenarios, which will form a key piece of evidence for the forthcoming Review of the LDP.</w:t>
      </w:r>
    </w:p>
    <w:p w:rsidR="00740AA4" w:rsidRPr="00FC34AB" w:rsidRDefault="00740AA4" w:rsidP="00D3776A">
      <w:pPr>
        <w:jc w:val="both"/>
      </w:pPr>
    </w:p>
    <w:p w:rsidR="00740AA4" w:rsidRPr="00FC34AB" w:rsidRDefault="00740AA4" w:rsidP="00D3776A">
      <w:pPr>
        <w:jc w:val="both"/>
      </w:pPr>
      <w:r w:rsidRPr="00FC34AB">
        <w:t xml:space="preserve">It is </w:t>
      </w:r>
      <w:r w:rsidR="00FC34AB" w:rsidRPr="00FC34AB">
        <w:t xml:space="preserve">also </w:t>
      </w:r>
      <w:r w:rsidRPr="00FC34AB">
        <w:t>recommended that the monitoring relating to the location of dwellings within the settlement hierarchy is continued and the landowners of allocated sites (without planning permission) within the Primary Key Settlement and Key Settlements are contacted with a view to ascertaining the likely timescales for the progression of their sites.</w:t>
      </w:r>
      <w:r w:rsidR="00FC34AB">
        <w:t xml:space="preserve">  The Authority notes, however, the constraints associated with sewerage and water infrastructure in the Primary Key Settlement of Brecon.  Here, it is envisaged that the issues will be addressed further to the completion of Dwr Cymru Welsh Water’s Asset Management Programme in March 2018.</w:t>
      </w:r>
    </w:p>
    <w:p w:rsidR="00740AA4" w:rsidRPr="00FC34AB" w:rsidRDefault="00740AA4" w:rsidP="00D3776A">
      <w:pPr>
        <w:jc w:val="both"/>
      </w:pPr>
    </w:p>
    <w:p w:rsidR="00740AA4" w:rsidRPr="00FA2CE8" w:rsidRDefault="0063797B" w:rsidP="00D3776A">
      <w:pPr>
        <w:jc w:val="both"/>
      </w:pPr>
      <w:r>
        <w:t xml:space="preserve">One of the indicators also </w:t>
      </w:r>
      <w:r w:rsidR="00FC34AB" w:rsidRPr="00FC34AB">
        <w:t>suggests that the dwelling density</w:t>
      </w:r>
      <w:r w:rsidR="00740AA4" w:rsidRPr="00FC34AB">
        <w:t xml:space="preserve"> policy is not wholly being implemented as required.  However, it must be noted that there is flexibility within the policy that allows development to take place at a density below 30 dwellings per hectare.  Accordingly, further research is required to determine the specific reasons for allowing a lower level of dwelling density.</w:t>
      </w:r>
      <w:r w:rsidR="00FC34AB">
        <w:t xml:space="preserve">  Previous research into this policy </w:t>
      </w:r>
      <w:r w:rsidR="00BF4C0A">
        <w:t>(</w:t>
      </w:r>
      <w:r w:rsidR="00FC34AB">
        <w:t xml:space="preserve">as a result of </w:t>
      </w:r>
      <w:r w:rsidR="00BF4C0A">
        <w:t xml:space="preserve">consents below </w:t>
      </w:r>
      <w:r w:rsidR="00BF4C0A">
        <w:lastRenderedPageBreak/>
        <w:t xml:space="preserve">the 30 dwelling per hectare threshold) demonstrated </w:t>
      </w:r>
      <w:r w:rsidR="00BF4C0A" w:rsidRPr="00BF4C0A">
        <w:t>that the policy was, in fact, being implemented as required.</w:t>
      </w:r>
    </w:p>
    <w:p w:rsidR="00740AA4" w:rsidRPr="00056748" w:rsidRDefault="00740AA4" w:rsidP="00D3776A">
      <w:pPr>
        <w:jc w:val="both"/>
      </w:pPr>
    </w:p>
    <w:p w:rsidR="001B08E6" w:rsidRPr="00056748" w:rsidRDefault="001B08E6" w:rsidP="002D2F1A">
      <w:pPr>
        <w:jc w:val="both"/>
        <w:rPr>
          <w:i/>
        </w:rPr>
      </w:pPr>
      <w:r w:rsidRPr="00056748">
        <w:rPr>
          <w:i/>
        </w:rPr>
        <w:t>Additional Supplementary Planning Guidance</w:t>
      </w:r>
    </w:p>
    <w:p w:rsidR="007D2CB9" w:rsidRDefault="001B08E6" w:rsidP="002D2F1A">
      <w:pPr>
        <w:jc w:val="both"/>
      </w:pPr>
      <w:r w:rsidRPr="00056748">
        <w:t xml:space="preserve">As referred to above, depending on the results of the policy research relating to </w:t>
      </w:r>
      <w:r w:rsidRPr="00056748">
        <w:rPr>
          <w:b/>
        </w:rPr>
        <w:t>dwelling density</w:t>
      </w:r>
      <w:r w:rsidR="007D2CB9" w:rsidRPr="00056748">
        <w:t>, it may have been</w:t>
      </w:r>
      <w:r w:rsidRPr="00056748">
        <w:t xml:space="preserve"> required to develop relevant supplementary guidance.</w:t>
      </w:r>
      <w:r w:rsidR="007D2CB9" w:rsidRPr="00056748">
        <w:t xml:space="preserve">  However, the results of the policy research </w:t>
      </w:r>
      <w:r w:rsidR="00825F54">
        <w:t>thus far suggested that the policy has been</w:t>
      </w:r>
      <w:r w:rsidR="007D2CB9" w:rsidRPr="00056748">
        <w:t xml:space="preserve"> implemented appropriately.  </w:t>
      </w:r>
      <w:r w:rsidR="00056748" w:rsidRPr="00056748">
        <w:t xml:space="preserve"> </w:t>
      </w:r>
      <w:r w:rsidR="00825F54">
        <w:t>Nevertheless, this stance may change further to additional policy research.</w:t>
      </w:r>
    </w:p>
    <w:p w:rsidR="00FA2CE8" w:rsidRPr="00FA2CE8" w:rsidRDefault="00FA2CE8" w:rsidP="002D2F1A">
      <w:pPr>
        <w:jc w:val="both"/>
      </w:pPr>
    </w:p>
    <w:p w:rsidR="00FA2CE8" w:rsidRDefault="00FA2CE8" w:rsidP="002D2F1A">
      <w:pPr>
        <w:jc w:val="both"/>
      </w:pPr>
      <w:r w:rsidRPr="00FA2CE8">
        <w:t>There wa</w:t>
      </w:r>
      <w:r w:rsidR="007D2CB9" w:rsidRPr="00FA2CE8">
        <w:t>s no additional supplementary planning guidance recommended as a result of the 2015-16 monitoring phase</w:t>
      </w:r>
      <w:r w:rsidR="00D3776A" w:rsidRPr="00FA2CE8">
        <w:t xml:space="preserve"> indicators</w:t>
      </w:r>
      <w:r w:rsidR="007D2CB9" w:rsidRPr="00FA2CE8">
        <w:t>.</w:t>
      </w:r>
      <w:r w:rsidRPr="00FA2CE8">
        <w:t xml:space="preserve">  Nevertheless, work had</w:t>
      </w:r>
      <w:r w:rsidR="007D2CB9" w:rsidRPr="00FA2CE8">
        <w:t xml:space="preserve"> commenced on SPG relating to </w:t>
      </w:r>
      <w:r w:rsidR="00D3776A" w:rsidRPr="00FA2CE8">
        <w:t>‘</w:t>
      </w:r>
      <w:r w:rsidR="007D2CB9" w:rsidRPr="00FA2CE8">
        <w:t>Householder Design</w:t>
      </w:r>
      <w:r w:rsidR="00D3776A" w:rsidRPr="00FA2CE8">
        <w:t>’</w:t>
      </w:r>
      <w:r w:rsidR="007D2CB9" w:rsidRPr="00FA2CE8">
        <w:t xml:space="preserve"> and </w:t>
      </w:r>
      <w:r w:rsidR="00D3776A" w:rsidRPr="00FA2CE8">
        <w:t>‘Allotments’</w:t>
      </w:r>
      <w:r w:rsidR="004D078A">
        <w:t xml:space="preserve"> as well as the</w:t>
      </w:r>
      <w:r w:rsidR="00374CCF">
        <w:t xml:space="preserve"> Affordable Housing Strategy,</w:t>
      </w:r>
      <w:r w:rsidR="004D078A">
        <w:t xml:space="preserve"> </w:t>
      </w:r>
      <w:r w:rsidR="00374CCF">
        <w:t xml:space="preserve">the </w:t>
      </w:r>
      <w:r w:rsidR="004D078A">
        <w:t>Hay Town Plan and Cerrigcochion Road Development Brief (land opposite the High School, Brecon)</w:t>
      </w:r>
      <w:r w:rsidRPr="00FA2CE8">
        <w:t>.  These have now been completed and</w:t>
      </w:r>
      <w:r w:rsidR="00D3776A" w:rsidRPr="00FA2CE8">
        <w:t xml:space="preserve"> endorsed by Members for use in the determination of relevant planning applications</w:t>
      </w:r>
      <w:r w:rsidRPr="00FA2CE8">
        <w:t>.</w:t>
      </w:r>
    </w:p>
    <w:p w:rsidR="00FA2CE8" w:rsidRDefault="00FA2CE8" w:rsidP="002D2F1A">
      <w:pPr>
        <w:jc w:val="both"/>
      </w:pPr>
    </w:p>
    <w:p w:rsidR="007D2CB9" w:rsidRDefault="00FA2CE8" w:rsidP="002D2F1A">
      <w:pPr>
        <w:jc w:val="both"/>
      </w:pPr>
      <w:r>
        <w:t>At this time, no further Supplementary Planning Guidance is scheduled as a result of performance against the monitoring indicators.  Nevertheless,</w:t>
      </w:r>
      <w:r w:rsidR="00D3776A" w:rsidRPr="00FA2CE8">
        <w:t xml:space="preserve"> </w:t>
      </w:r>
      <w:r w:rsidR="00374CCF">
        <w:t>work had commenced on the following by the end of the monitoring period:</w:t>
      </w:r>
    </w:p>
    <w:p w:rsidR="00374CCF" w:rsidRDefault="00374CCF" w:rsidP="00374CCF">
      <w:pPr>
        <w:pStyle w:val="ListParagraph"/>
        <w:numPr>
          <w:ilvl w:val="0"/>
          <w:numId w:val="29"/>
        </w:numPr>
        <w:jc w:val="both"/>
      </w:pPr>
      <w:r>
        <w:t>Crickhowell Community Plan</w:t>
      </w:r>
    </w:p>
    <w:p w:rsidR="00374CCF" w:rsidRDefault="00374CCF" w:rsidP="00374CCF">
      <w:pPr>
        <w:pStyle w:val="ListParagraph"/>
        <w:numPr>
          <w:ilvl w:val="0"/>
          <w:numId w:val="29"/>
        </w:numPr>
        <w:jc w:val="both"/>
      </w:pPr>
      <w:r>
        <w:t>Brecon Town Plan</w:t>
      </w:r>
    </w:p>
    <w:p w:rsidR="00374CCF" w:rsidRDefault="00374CCF" w:rsidP="00374CCF">
      <w:pPr>
        <w:pStyle w:val="ListParagraph"/>
        <w:numPr>
          <w:ilvl w:val="0"/>
          <w:numId w:val="29"/>
        </w:numPr>
        <w:jc w:val="both"/>
      </w:pPr>
      <w:r>
        <w:t>Talgarth Town Plan</w:t>
      </w:r>
    </w:p>
    <w:p w:rsidR="00374CCF" w:rsidRDefault="00374CCF" w:rsidP="00374CCF">
      <w:pPr>
        <w:pStyle w:val="ListParagraph"/>
        <w:numPr>
          <w:ilvl w:val="0"/>
          <w:numId w:val="29"/>
        </w:numPr>
        <w:jc w:val="both"/>
      </w:pPr>
      <w:r>
        <w:t>Wellbeing (possible SPG)</w:t>
      </w:r>
    </w:p>
    <w:p w:rsidR="00374CCF" w:rsidRPr="001F4D7D" w:rsidRDefault="00374CCF" w:rsidP="002D2F1A">
      <w:pPr>
        <w:jc w:val="both"/>
      </w:pPr>
    </w:p>
    <w:p w:rsidR="00E879B7" w:rsidRPr="001F4D7D" w:rsidRDefault="00E879B7" w:rsidP="002D2F1A">
      <w:pPr>
        <w:jc w:val="both"/>
      </w:pPr>
    </w:p>
    <w:p w:rsidR="00E879B7" w:rsidRPr="001F4D7D" w:rsidRDefault="00E879B7" w:rsidP="002D2F1A">
      <w:pPr>
        <w:jc w:val="both"/>
        <w:rPr>
          <w:i/>
        </w:rPr>
      </w:pPr>
      <w:r w:rsidRPr="001F4D7D">
        <w:rPr>
          <w:i/>
        </w:rPr>
        <w:t>Officer and Member Training</w:t>
      </w:r>
    </w:p>
    <w:p w:rsidR="007D2CB9" w:rsidRPr="001F4D7D" w:rsidRDefault="00374CCF" w:rsidP="00314E96">
      <w:pPr>
        <w:jc w:val="both"/>
      </w:pPr>
      <w:r w:rsidRPr="001F4D7D">
        <w:t>N</w:t>
      </w:r>
      <w:r w:rsidR="007D2CB9" w:rsidRPr="001F4D7D">
        <w:t>o additional Officer and Member training</w:t>
      </w:r>
      <w:r w:rsidRPr="001F4D7D">
        <w:t xml:space="preserve"> was proposed as a result of the</w:t>
      </w:r>
      <w:r w:rsidR="007D2CB9" w:rsidRPr="001F4D7D">
        <w:t xml:space="preserve"> 2015-16 monitoring phase</w:t>
      </w:r>
      <w:r w:rsidR="001F4D7D" w:rsidRPr="001F4D7D">
        <w:t>.  This is also the case for this monitoring phase, save for the potential training in relation to dwelling density arising from further research.</w:t>
      </w:r>
    </w:p>
    <w:p w:rsidR="00E879B7" w:rsidRPr="007E1A01" w:rsidRDefault="00E879B7" w:rsidP="002D2F1A">
      <w:pPr>
        <w:jc w:val="both"/>
        <w:rPr>
          <w:color w:val="FF0000"/>
        </w:rPr>
      </w:pPr>
    </w:p>
    <w:p w:rsidR="004D5B62" w:rsidRPr="007E1A01" w:rsidRDefault="004D5B62" w:rsidP="004A6384">
      <w:pPr>
        <w:jc w:val="both"/>
        <w:rPr>
          <w:color w:val="FF0000"/>
        </w:rPr>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855D5C" w:rsidRDefault="00855D5C" w:rsidP="004A6384">
      <w:pPr>
        <w:jc w:val="both"/>
      </w:pPr>
    </w:p>
    <w:p w:rsidR="00C35F3E" w:rsidRDefault="00C35F3E" w:rsidP="004A6384">
      <w:pPr>
        <w:jc w:val="both"/>
        <w:rPr>
          <w:b/>
          <w:sz w:val="24"/>
          <w:szCs w:val="24"/>
          <w:u w:val="single"/>
        </w:rPr>
      </w:pPr>
      <w:r w:rsidRPr="00855D5C">
        <w:rPr>
          <w:b/>
          <w:sz w:val="24"/>
          <w:szCs w:val="24"/>
          <w:u w:val="single"/>
        </w:rPr>
        <w:t>Appendices</w:t>
      </w:r>
    </w:p>
    <w:p w:rsidR="00855D5C" w:rsidRPr="00855D5C" w:rsidRDefault="00855D5C" w:rsidP="004A6384">
      <w:pPr>
        <w:jc w:val="both"/>
        <w:rPr>
          <w:b/>
          <w:sz w:val="24"/>
          <w:szCs w:val="24"/>
          <w:u w:val="single"/>
        </w:rPr>
      </w:pPr>
    </w:p>
    <w:p w:rsidR="00E947E8" w:rsidRDefault="009819AC" w:rsidP="009819AC">
      <w:pPr>
        <w:pStyle w:val="ListParagraph"/>
        <w:numPr>
          <w:ilvl w:val="0"/>
          <w:numId w:val="3"/>
        </w:numPr>
        <w:jc w:val="both"/>
        <w:rPr>
          <w:b/>
        </w:rPr>
      </w:pPr>
      <w:r w:rsidRPr="009819AC">
        <w:rPr>
          <w:b/>
        </w:rPr>
        <w:t>Joint Hous</w:t>
      </w:r>
      <w:r w:rsidR="00EE4D8C">
        <w:rPr>
          <w:b/>
        </w:rPr>
        <w:t>ing Land Availability Study 2016</w:t>
      </w:r>
    </w:p>
    <w:p w:rsidR="00E947E8" w:rsidRDefault="00E947E8">
      <w:pPr>
        <w:rPr>
          <w:b/>
        </w:rPr>
      </w:pPr>
    </w:p>
    <w:p w:rsidR="00C32F1A" w:rsidRDefault="00B80CD4">
      <w:pPr>
        <w:rPr>
          <w:b/>
        </w:rPr>
      </w:pPr>
      <w:hyperlink r:id="rId8" w:history="1">
        <w:r w:rsidR="00EE4D8C" w:rsidRPr="00C33C77">
          <w:rPr>
            <w:rStyle w:val="Hyperlink"/>
            <w:b/>
          </w:rPr>
          <w:t>http://www.beacons-npa.gov.uk/planning/draft-strategy-and-policy/joint-housing-land-availability-study-jhlas/</w:t>
        </w:r>
      </w:hyperlink>
    </w:p>
    <w:p w:rsidR="00EE4D8C" w:rsidRDefault="00EE4D8C">
      <w:pPr>
        <w:rPr>
          <w:b/>
        </w:rPr>
      </w:pPr>
    </w:p>
    <w:p w:rsidR="00C32F1A" w:rsidRDefault="00C32F1A">
      <w:pPr>
        <w:rPr>
          <w:b/>
        </w:rPr>
      </w:pPr>
    </w:p>
    <w:p w:rsidR="009819AC" w:rsidRDefault="00E947E8" w:rsidP="009819AC">
      <w:pPr>
        <w:pStyle w:val="ListParagraph"/>
        <w:numPr>
          <w:ilvl w:val="0"/>
          <w:numId w:val="3"/>
        </w:numPr>
        <w:jc w:val="both"/>
        <w:rPr>
          <w:b/>
        </w:rPr>
      </w:pPr>
      <w:r>
        <w:rPr>
          <w:b/>
        </w:rPr>
        <w:t>Additional SA indicators</w:t>
      </w:r>
    </w:p>
    <w:p w:rsidR="00D12386" w:rsidRDefault="00D12386" w:rsidP="00D12386">
      <w:pPr>
        <w:pStyle w:val="ListParagraph"/>
        <w:jc w:val="both"/>
        <w:rPr>
          <w:b/>
        </w:rPr>
      </w:pPr>
    </w:p>
    <w:tbl>
      <w:tblPr>
        <w:tblW w:w="0" w:type="auto"/>
        <w:tblCellMar>
          <w:left w:w="0" w:type="dxa"/>
          <w:right w:w="0" w:type="dxa"/>
        </w:tblCellMar>
        <w:tblLook w:val="04A0" w:firstRow="1" w:lastRow="0" w:firstColumn="1" w:lastColumn="0" w:noHBand="0" w:noVBand="1"/>
      </w:tblPr>
      <w:tblGrid>
        <w:gridCol w:w="1163"/>
        <w:gridCol w:w="2012"/>
        <w:gridCol w:w="4640"/>
        <w:gridCol w:w="1191"/>
      </w:tblGrid>
      <w:tr w:rsidR="0046197A" w:rsidRPr="0051225C" w:rsidTr="00131CFF">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sidRPr="0051225C">
              <w:rPr>
                <w:rFonts w:ascii="Calibri" w:eastAsia="Calibri" w:hAnsi="Calibri" w:cs="Times New Roman"/>
                <w:b/>
                <w:bCs/>
                <w:sz w:val="24"/>
                <w:szCs w:val="24"/>
              </w:rPr>
              <w:t>SA Topic</w:t>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sidRPr="0051225C">
              <w:rPr>
                <w:rFonts w:ascii="Calibri" w:eastAsia="Calibri" w:hAnsi="Calibri" w:cs="Times New Roman"/>
                <w:b/>
                <w:bCs/>
                <w:sz w:val="24"/>
                <w:szCs w:val="24"/>
              </w:rPr>
              <w:t xml:space="preserve">Indicators </w:t>
            </w:r>
          </w:p>
        </w:tc>
        <w:tc>
          <w:tcPr>
            <w:tcW w:w="4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sidRPr="0051225C">
              <w:rPr>
                <w:rFonts w:ascii="Calibri" w:eastAsia="Calibri" w:hAnsi="Calibri" w:cs="Times New Roman"/>
                <w:b/>
                <w:bCs/>
                <w:sz w:val="24"/>
                <w:szCs w:val="24"/>
              </w:rPr>
              <w:t>Findings</w:t>
            </w:r>
          </w:p>
        </w:tc>
        <w:tc>
          <w:tcPr>
            <w:tcW w:w="1078" w:type="dxa"/>
            <w:tcBorders>
              <w:top w:val="single" w:sz="8" w:space="0" w:color="auto"/>
              <w:left w:val="nil"/>
              <w:bottom w:val="single" w:sz="8" w:space="0" w:color="auto"/>
              <w:right w:val="single" w:sz="8" w:space="0" w:color="auto"/>
            </w:tcBorders>
          </w:tcPr>
          <w:p w:rsidR="00131CFF" w:rsidRPr="0051225C" w:rsidRDefault="00131CFF" w:rsidP="00131CFF">
            <w:pPr>
              <w:rPr>
                <w:rFonts w:ascii="Calibri" w:eastAsia="Calibri" w:hAnsi="Calibri" w:cs="Times New Roman"/>
                <w:b/>
                <w:bCs/>
                <w:sz w:val="24"/>
                <w:szCs w:val="24"/>
              </w:rPr>
            </w:pPr>
            <w:r>
              <w:rPr>
                <w:rFonts w:ascii="Calibri" w:eastAsia="Calibri" w:hAnsi="Calibri" w:cs="Times New Roman"/>
                <w:b/>
                <w:bCs/>
                <w:sz w:val="24"/>
                <w:szCs w:val="24"/>
              </w:rPr>
              <w:t xml:space="preserve">Overall Trend </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Climatic Factors</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Condition of Biological SSSIs </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There are 65 biological SSSIs wholly or partly within the National Park boundary with a total of 163 individual biological features (NRW 2014). </w:t>
            </w:r>
          </w:p>
          <w:p w:rsidR="00131CFF" w:rsidRPr="0051225C" w:rsidRDefault="00131CFF" w:rsidP="0051225C">
            <w:pPr>
              <w:rPr>
                <w:rFonts w:ascii="Calibri" w:eastAsia="Calibri" w:hAnsi="Calibri" w:cs="Times New Roman"/>
                <w:sz w:val="24"/>
                <w:szCs w:val="24"/>
              </w:rPr>
            </w:pPr>
          </w:p>
          <w:p w:rsidR="00131CFF" w:rsidRPr="0051225C" w:rsidRDefault="00131CFF" w:rsidP="0051225C">
            <w:pPr>
              <w:rPr>
                <w:rFonts w:ascii="Calibri" w:eastAsia="Calibri" w:hAnsi="Calibri" w:cs="Times New Roman"/>
              </w:rPr>
            </w:pPr>
            <w:r w:rsidRPr="0051225C">
              <w:rPr>
                <w:rFonts w:ascii="Calibri" w:eastAsia="Calibri" w:hAnsi="Calibri" w:cs="Times New Roman"/>
              </w:rPr>
              <w:t xml:space="preserve">In 2006 there were 82 biological features of importance in the National Park, 24(29%) of these were in favourable condition,  45 (55%) were in unfavourable condition, one (1%) was partially destroyed and 12 (15%) were unknown. Of the 45 biological features in unfavourable condition, 11 (24%) of these were recovering, 11 (24%) were declining and for 23 (50%) the trend was unknown.  </w:t>
            </w:r>
          </w:p>
          <w:p w:rsidR="00131CFF" w:rsidRPr="0051225C" w:rsidRDefault="00131CFF" w:rsidP="0051225C">
            <w:pPr>
              <w:rPr>
                <w:rFonts w:ascii="Calibri" w:eastAsia="Calibri" w:hAnsi="Calibri" w:cs="Times New Roman"/>
              </w:rPr>
            </w:pPr>
          </w:p>
          <w:p w:rsidR="00131CFF" w:rsidRPr="0051225C" w:rsidRDefault="00131CFF" w:rsidP="0051225C">
            <w:pPr>
              <w:rPr>
                <w:rFonts w:ascii="Calibri" w:eastAsia="Calibri" w:hAnsi="Calibri" w:cs="Times New Roman"/>
              </w:rPr>
            </w:pPr>
            <w:r>
              <w:rPr>
                <w:rFonts w:ascii="Calibri" w:eastAsia="Calibri" w:hAnsi="Calibri" w:cs="Times New Roman"/>
              </w:rPr>
              <w:lastRenderedPageBreak/>
              <w:t>I</w:t>
            </w:r>
            <w:r w:rsidRPr="0051225C">
              <w:rPr>
                <w:rFonts w:ascii="Calibri" w:eastAsia="Calibri" w:hAnsi="Calibri" w:cs="Times New Roman"/>
              </w:rPr>
              <w:t>n 2014 there were 163 biological features of importance in the National Park, 93 (57%) of which were currently in favourable condition, 51 (31%) were in unfavourable condition and for 19 (12%) the condition was unknown.</w:t>
            </w:r>
          </w:p>
          <w:p w:rsidR="00131CFF" w:rsidRDefault="00131CFF" w:rsidP="0051225C">
            <w:pPr>
              <w:rPr>
                <w:rFonts w:ascii="Calibri" w:eastAsia="Calibri" w:hAnsi="Calibri" w:cs="Times New Roman"/>
              </w:rPr>
            </w:pPr>
          </w:p>
          <w:p w:rsidR="00131CFF" w:rsidRPr="00131CFF" w:rsidRDefault="00131CFF" w:rsidP="00131CFF">
            <w:pPr>
              <w:rPr>
                <w:rFonts w:ascii="Calibri" w:eastAsia="Calibri" w:hAnsi="Calibri" w:cs="Times New Roman"/>
              </w:rPr>
            </w:pPr>
            <w:r>
              <w:rPr>
                <w:rFonts w:ascii="Calibri" w:eastAsia="Calibri" w:hAnsi="Calibri" w:cs="Times New Roman"/>
              </w:rPr>
              <w:t>T</w:t>
            </w:r>
            <w:r w:rsidRPr="00131CFF">
              <w:rPr>
                <w:rFonts w:ascii="Calibri" w:eastAsia="Calibri" w:hAnsi="Calibri" w:cs="Times New Roman"/>
              </w:rPr>
              <w:t>he percentage of features in unfavourable condition has reduced significantly and the percentage of features in favourable condition has significantly increased, which demonstrates a very positive trend since 2006.</w:t>
            </w:r>
            <w:r>
              <w:rPr>
                <w:rFonts w:ascii="Calibri" w:eastAsia="Calibri" w:hAnsi="Calibri" w:cs="Times New Roman"/>
              </w:rPr>
              <w:t xml:space="preserve">  </w:t>
            </w:r>
            <w:r w:rsidRPr="00131CFF">
              <w:rPr>
                <w:rFonts w:ascii="Calibri" w:eastAsia="Calibri" w:hAnsi="Calibri" w:cs="Times New Roman"/>
                <w:b/>
              </w:rPr>
              <w:t>However</w:t>
            </w:r>
            <w:r>
              <w:rPr>
                <w:rFonts w:ascii="Calibri" w:eastAsia="Calibri" w:hAnsi="Calibri" w:cs="Times New Roman"/>
              </w:rPr>
              <w:t xml:space="preserve">, it should be noted that </w:t>
            </w:r>
            <w:r w:rsidRPr="0051225C">
              <w:rPr>
                <w:rFonts w:ascii="Calibri" w:eastAsia="Calibri" w:hAnsi="Calibri" w:cs="Times New Roman"/>
              </w:rPr>
              <w:t xml:space="preserve">there were more biological features in unfavourable condition in 2014 than there were in 2006, </w:t>
            </w:r>
            <w:r>
              <w:rPr>
                <w:rFonts w:ascii="Calibri" w:eastAsia="Calibri" w:hAnsi="Calibri" w:cs="Times New Roman"/>
              </w:rPr>
              <w:t xml:space="preserve">due in part to </w:t>
            </w:r>
            <w:r w:rsidRPr="0051225C">
              <w:rPr>
                <w:rFonts w:ascii="Calibri" w:eastAsia="Calibri" w:hAnsi="Calibri" w:cs="Times New Roman"/>
              </w:rPr>
              <w:t>the total nu</w:t>
            </w:r>
            <w:r>
              <w:rPr>
                <w:rFonts w:ascii="Calibri" w:eastAsia="Calibri" w:hAnsi="Calibri" w:cs="Times New Roman"/>
              </w:rPr>
              <w:t>mber of biological features doubling</w:t>
            </w:r>
            <w:r w:rsidRPr="0051225C">
              <w:rPr>
                <w:rFonts w:ascii="Calibri" w:eastAsia="Calibri" w:hAnsi="Calibri" w:cs="Times New Roman"/>
              </w:rPr>
              <w:t xml:space="preserve"> since 2006. </w:t>
            </w:r>
            <w:r>
              <w:rPr>
                <w:rFonts w:ascii="Calibri" w:eastAsia="Calibri" w:hAnsi="Calibri" w:cs="Times New Roman"/>
              </w:rPr>
              <w:t>Nevertheless, m</w:t>
            </w:r>
            <w:r w:rsidRPr="0051225C">
              <w:rPr>
                <w:rFonts w:ascii="Calibri" w:eastAsia="Calibri" w:hAnsi="Calibri" w:cs="Times New Roman"/>
              </w:rPr>
              <w:t>anagement measures are in place to</w:t>
            </w:r>
            <w:r>
              <w:rPr>
                <w:rFonts w:ascii="Calibri" w:eastAsia="Calibri" w:hAnsi="Calibri" w:cs="Times New Roman"/>
              </w:rPr>
              <w:t xml:space="preserve"> ensure that the percentage trend referred to above</w:t>
            </w:r>
            <w:r w:rsidRPr="0051225C">
              <w:rPr>
                <w:rFonts w:ascii="Calibri" w:eastAsia="Calibri" w:hAnsi="Calibri" w:cs="Times New Roman"/>
              </w:rPr>
              <w:t xml:space="preserve"> continues. (SOPR)</w:t>
            </w:r>
          </w:p>
        </w:tc>
        <w:tc>
          <w:tcPr>
            <w:tcW w:w="1078" w:type="dxa"/>
            <w:tcBorders>
              <w:top w:val="nil"/>
              <w:left w:val="nil"/>
              <w:bottom w:val="single" w:sz="8" w:space="0" w:color="auto"/>
              <w:right w:val="single" w:sz="8" w:space="0" w:color="auto"/>
            </w:tcBorders>
            <w:shd w:val="clear" w:color="auto" w:fill="FFFFFF" w:themeFill="background1"/>
          </w:tcPr>
          <w:p w:rsidR="00131CFF" w:rsidRPr="0051225C" w:rsidRDefault="00131CFF" w:rsidP="0051225C">
            <w:pPr>
              <w:rPr>
                <w:rFonts w:ascii="Calibri" w:eastAsia="Calibri" w:hAnsi="Calibri" w:cs="Times New Roman"/>
                <w:sz w:val="24"/>
                <w:szCs w:val="24"/>
              </w:rPr>
            </w:pPr>
            <w:r>
              <w:rPr>
                <w:rFonts w:ascii="Calibri" w:eastAsia="Calibri" w:hAnsi="Calibri" w:cs="Times New Roman"/>
                <w:sz w:val="24"/>
                <w:szCs w:val="24"/>
              </w:rPr>
              <w:lastRenderedPageBreak/>
              <w:t>Positive</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Water quality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Default="00131CFF" w:rsidP="0051225C">
            <w:pPr>
              <w:rPr>
                <w:rFonts w:ascii="Calibri" w:eastAsia="Calibri" w:hAnsi="Calibri" w:cs="Times New Roman"/>
              </w:rPr>
            </w:pPr>
            <w:r w:rsidRPr="0051225C">
              <w:rPr>
                <w:rFonts w:ascii="Calibri" w:eastAsia="Calibri" w:hAnsi="Calibri" w:cs="Times New Roman"/>
              </w:rPr>
              <w:t>Currently there are a significant number of rivers which are not achieving good ecological status in accordance with the Water Framework Directive. All rivers which require assessment for their chemical status are in good condition.</w:t>
            </w:r>
          </w:p>
          <w:p w:rsidR="00131CFF" w:rsidRPr="0051225C" w:rsidRDefault="00131CFF" w:rsidP="0051225C">
            <w:pPr>
              <w:rPr>
                <w:rFonts w:ascii="Calibri" w:eastAsia="Calibri" w:hAnsi="Calibri" w:cs="Times New Roman"/>
              </w:rPr>
            </w:pPr>
          </w:p>
          <w:p w:rsidR="00131CFF" w:rsidRPr="0051225C" w:rsidRDefault="00131CFF" w:rsidP="0051225C">
            <w:pPr>
              <w:rPr>
                <w:rFonts w:ascii="Calibri" w:eastAsia="Calibri" w:hAnsi="Calibri" w:cs="Times New Roman"/>
              </w:rPr>
            </w:pPr>
            <w:r w:rsidRPr="0051225C">
              <w:rPr>
                <w:rFonts w:ascii="Calibri" w:eastAsia="Calibri" w:hAnsi="Calibri" w:cs="Times New Roman"/>
              </w:rPr>
              <w:t>Currently the vast majority of groundwater bodies in the Park are achieving good chemical good chemical status and relatively few are in a poor condition.  All of the groundwater bodies in the Park are achieving good quantitative status.</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rPr>
              <w:t>Of the 19 lakes in the Park 11 are in good condition (58%) and 8 (42%) are in moderate condition.  None of the lakes require assessment for chemical status.</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eastAsia="Calibri" w:hAnsi="Calibri" w:cs="Times New Roman"/>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Air quality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Data for 2010 shows that particulate matter (PM</w:t>
            </w:r>
            <w:r w:rsidRPr="0051225C">
              <w:rPr>
                <w:rFonts w:ascii="Calibri" w:eastAsia="Calibri" w:hAnsi="Calibri" w:cs="Times New Roman"/>
                <w:sz w:val="24"/>
                <w:szCs w:val="24"/>
                <w:vertAlign w:val="subscript"/>
              </w:rPr>
              <w:t>10</w:t>
            </w:r>
            <w:r w:rsidRPr="0051225C">
              <w:rPr>
                <w:rFonts w:ascii="Calibri" w:eastAsia="Calibri" w:hAnsi="Calibri" w:cs="Times New Roman"/>
                <w:sz w:val="24"/>
                <w:szCs w:val="24"/>
              </w:rPr>
              <w:t>) Is between 10 and 15 ug/m</w:t>
            </w:r>
            <w:r w:rsidRPr="0051225C">
              <w:rPr>
                <w:rFonts w:ascii="Calibri" w:eastAsia="Calibri" w:hAnsi="Calibri" w:cs="Times New Roman"/>
                <w:sz w:val="24"/>
                <w:szCs w:val="24"/>
                <w:vertAlign w:val="superscript"/>
              </w:rPr>
              <w:t>3</w:t>
            </w:r>
            <w:r w:rsidRPr="0051225C">
              <w:rPr>
                <w:rFonts w:ascii="Calibri" w:eastAsia="Calibri" w:hAnsi="Calibri" w:cs="Times New Roman"/>
                <w:sz w:val="24"/>
                <w:szCs w:val="24"/>
              </w:rPr>
              <w:t>.  This is below Air Quality Standards (Wales) 2010 Regulations limit values for PM</w:t>
            </w:r>
            <w:r w:rsidRPr="0051225C">
              <w:rPr>
                <w:rFonts w:ascii="Calibri" w:eastAsia="Calibri" w:hAnsi="Calibri" w:cs="Times New Roman"/>
                <w:sz w:val="24"/>
                <w:szCs w:val="24"/>
                <w:vertAlign w:val="subscript"/>
              </w:rPr>
              <w:t>10</w:t>
            </w:r>
            <w:r w:rsidRPr="0051225C">
              <w:rPr>
                <w:rFonts w:ascii="Calibri" w:eastAsia="Calibri" w:hAnsi="Calibri" w:cs="Times New Roman"/>
                <w:sz w:val="24"/>
                <w:szCs w:val="24"/>
              </w:rPr>
              <w:t xml:space="preserve"> are a </w:t>
            </w:r>
            <w:r w:rsidRPr="0051225C">
              <w:rPr>
                <w:rFonts w:ascii="Calibri" w:eastAsia="Calibri" w:hAnsi="Calibri" w:cs="Times New Roman"/>
                <w:sz w:val="24"/>
                <w:szCs w:val="24"/>
              </w:rPr>
              <w:lastRenderedPageBreak/>
              <w:t>concentration less than 40ug/m</w:t>
            </w:r>
            <w:r w:rsidRPr="0051225C">
              <w:rPr>
                <w:rFonts w:ascii="Calibri" w:eastAsia="Calibri" w:hAnsi="Calibri" w:cs="Times New Roman"/>
                <w:sz w:val="24"/>
                <w:szCs w:val="24"/>
                <w:vertAlign w:val="superscript"/>
              </w:rPr>
              <w:t>3</w:t>
            </w:r>
            <w:r w:rsidRPr="0051225C">
              <w:rPr>
                <w:rFonts w:ascii="Calibri" w:eastAsia="Calibri" w:hAnsi="Calibri" w:cs="Times New Roman"/>
                <w:sz w:val="24"/>
                <w:szCs w:val="24"/>
              </w:rPr>
              <w:t>.  There are no air quality management areas within the National Park.</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lastRenderedPageBreak/>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Water quantity</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Catchment Area Management Strategies (CAMs) are in place for the whole of the National Park area.</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Water is available for abstraction in the majority of the Carmarthenshire area of the National Park.</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 majority of the NP area is defined as over abstracted, with small areas defined as having No Water Available or Over Abstracted.  This data has not changed since the beginning of the plan period.</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Geodiversity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There are currently 76 Regionally Important Geodiversity Sites in the Park, whereas at the start of the plan period there were 11.  The sites condition is set out accordingly:-</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3% - Poor</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5% - Degrading</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9% - Stable</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67% - Good</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16% - Excellent</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In 2006 all 11 sites were in good condition (data source SOPR).</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Phase One Species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rPr>
              <w:t xml:space="preserve">Over half (55%) of the grassland habitats were improved grassland. Just over 1% of the National Park was built environment. 57,347 hectares of the Brecon Beacons National Park are under statutory ownership. Of these 57, 347 hectares 39% is designated as Sites of Special Scientific Interest (SSSI), 33% is owned by the National </w:t>
            </w:r>
            <w:r w:rsidRPr="0051225C">
              <w:rPr>
                <w:rFonts w:ascii="Calibri" w:eastAsia="Calibri" w:hAnsi="Calibri" w:cs="Times New Roman"/>
              </w:rPr>
              <w:lastRenderedPageBreak/>
              <w:t>Park, 15% is owned by Natural Resources Wales, 7% is owned by the National Trust, 4% is a Special Area of Conservation (SAC), 2% is National Nature Reserve (NNR) and less than 1% is owned by Brecknock Wildlife Trust. Natural Resources Wales have recently updated and released Phase I habitat mapping of Wales through the use of satellite imagery. The data was collected over the course of many years. Analysis of habitat change over time may now be conducted as long as certain caveats are considered when comparing the data. Updated Phase 1 data shows that Grassland now accounts for 57% of the principal habitat type across the National Park which shows a reduction of approximately 5%. Woodland now accounts for 17% of the principal habitat types, an increase of approximately 3%. Heathland now accounts for 10% of the principal habitat types across the park, a decrease of 1. (data source SOPR)</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eastAsia="Calibri" w:hAnsi="Calibri" w:cs="Times New Roman"/>
              </w:rPr>
              <w:lastRenderedPageBreak/>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Scheduled Ancient Monuments (SAMs)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In 2006 there were 268 SAMs within the Park.  Of these, 95.4% were in either a stable or favourable condition (257).  In 2014 there were 357 SAMS in the park – an increase of 89 since 2006.  Of the 357 SAMs in the Park 95.5% were in a stable or favourable condition.  In 2014 there was a slightly smaller percentage (0.4%) of SAMs in a</w:t>
            </w:r>
            <w:r w:rsidR="000460FA">
              <w:rPr>
                <w:rFonts w:ascii="Calibri" w:eastAsia="Calibri" w:hAnsi="Calibri" w:cs="Times New Roman"/>
                <w:sz w:val="24"/>
                <w:szCs w:val="24"/>
              </w:rPr>
              <w:t>n un</w:t>
            </w:r>
            <w:r w:rsidRPr="0051225C">
              <w:rPr>
                <w:rFonts w:ascii="Calibri" w:eastAsia="Calibri" w:hAnsi="Calibri" w:cs="Times New Roman"/>
                <w:sz w:val="24"/>
                <w:szCs w:val="24"/>
              </w:rPr>
              <w:t xml:space="preserve">stable or </w:t>
            </w:r>
            <w:r w:rsidR="000460FA">
              <w:rPr>
                <w:rFonts w:ascii="Calibri" w:eastAsia="Calibri" w:hAnsi="Calibri" w:cs="Times New Roman"/>
                <w:sz w:val="24"/>
                <w:szCs w:val="24"/>
              </w:rPr>
              <w:t>un</w:t>
            </w:r>
            <w:r w:rsidRPr="0051225C">
              <w:rPr>
                <w:rFonts w:ascii="Calibri" w:eastAsia="Calibri" w:hAnsi="Calibri" w:cs="Times New Roman"/>
                <w:sz w:val="24"/>
                <w:szCs w:val="24"/>
              </w:rPr>
              <w:t>favourable condition.  Whilst this figure is not large, it is worth noting that 89 ancient monuments have been scheduled since 2006 which means there is now a greater total number of SAMs in either stable or favourable condition. (data source SOPR)</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Positive</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Listed buildings at risk</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In 2006 there were 1,711 listed buildings.  Of these 11% were at risk. The number of listed buildings increased by 2014 to 1,950 Listed Buildings.  Of these 6.6% were at risk.  The number of listed buildings has therefore increased whilst the number at risk as decreased since the beginning of the plan period. In 2016 the number of listed buildings had increased to 1951, with 5.4% of those being at risk.  (data source SOPR and CADW)</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Positive</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historic landscape with up to date character appraisal</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100% of Historic Landscape Areas have up to date characterisations.</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Archaeological Protection</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During the period of this AMR </w:t>
            </w:r>
            <w:r w:rsidRPr="00EE4D8C">
              <w:rPr>
                <w:rFonts w:ascii="Calibri" w:eastAsia="Calibri" w:hAnsi="Calibri" w:cs="Times New Roman"/>
                <w:sz w:val="24"/>
                <w:szCs w:val="24"/>
                <w:highlight w:val="yellow"/>
              </w:rPr>
              <w:t>526</w:t>
            </w:r>
            <w:r w:rsidRPr="0051225C">
              <w:rPr>
                <w:rFonts w:ascii="Calibri" w:eastAsia="Calibri" w:hAnsi="Calibri" w:cs="Times New Roman"/>
                <w:sz w:val="24"/>
                <w:szCs w:val="24"/>
              </w:rPr>
              <w:t xml:space="preserve"> planning applications have been screened for their potential impact on archaeological resources.  This has resulted in a total of </w:t>
            </w:r>
            <w:r w:rsidRPr="00EE4D8C">
              <w:rPr>
                <w:rFonts w:ascii="Calibri" w:eastAsia="Calibri" w:hAnsi="Calibri" w:cs="Times New Roman"/>
                <w:sz w:val="24"/>
                <w:szCs w:val="24"/>
                <w:highlight w:val="yellow"/>
              </w:rPr>
              <w:t>87</w:t>
            </w:r>
            <w:r w:rsidRPr="0051225C">
              <w:rPr>
                <w:rFonts w:ascii="Calibri" w:eastAsia="Calibri" w:hAnsi="Calibri" w:cs="Times New Roman"/>
                <w:sz w:val="24"/>
                <w:szCs w:val="24"/>
              </w:rPr>
              <w:t xml:space="preserve"> applications requiring works to ensure the protection of the National Park’s Archaeology.</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Broadband coverage and speed</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 superfast Cymru project covers the majority of the National Park Area. By the end of the project it is anticipated that all communities will have access to high-speed broadband.</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Travel to work</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 ONS publish travel to work area data based on the findings of the 2011 Census.  The National Park comprises the following 5 Travel to Work Areas</w:t>
            </w:r>
          </w:p>
          <w:p w:rsidR="00131CFF" w:rsidRPr="0051225C" w:rsidRDefault="00131CFF" w:rsidP="0051225C">
            <w:pPr>
              <w:numPr>
                <w:ilvl w:val="0"/>
                <w:numId w:val="21"/>
              </w:numPr>
              <w:contextualSpacing/>
              <w:rPr>
                <w:rFonts w:ascii="Calibri" w:eastAsia="Calibri" w:hAnsi="Calibri" w:cs="Times New Roman"/>
                <w:sz w:val="24"/>
                <w:szCs w:val="24"/>
              </w:rPr>
            </w:pPr>
            <w:r w:rsidRPr="0051225C">
              <w:rPr>
                <w:rFonts w:ascii="Calibri" w:eastAsia="Calibri" w:hAnsi="Calibri" w:cs="Times New Roman"/>
                <w:sz w:val="24"/>
                <w:szCs w:val="24"/>
              </w:rPr>
              <w:lastRenderedPageBreak/>
              <w:t>Swansea</w:t>
            </w:r>
          </w:p>
          <w:p w:rsidR="00131CFF" w:rsidRPr="0051225C" w:rsidRDefault="00131CFF" w:rsidP="0051225C">
            <w:pPr>
              <w:numPr>
                <w:ilvl w:val="0"/>
                <w:numId w:val="21"/>
              </w:numPr>
              <w:contextualSpacing/>
              <w:rPr>
                <w:rFonts w:ascii="Calibri" w:eastAsia="Calibri" w:hAnsi="Calibri" w:cs="Times New Roman"/>
                <w:sz w:val="24"/>
                <w:szCs w:val="24"/>
              </w:rPr>
            </w:pPr>
            <w:r w:rsidRPr="0051225C">
              <w:rPr>
                <w:rFonts w:ascii="Calibri" w:eastAsia="Calibri" w:hAnsi="Calibri" w:cs="Times New Roman"/>
                <w:sz w:val="24"/>
                <w:szCs w:val="24"/>
              </w:rPr>
              <w:t>Llanelli</w:t>
            </w:r>
          </w:p>
          <w:p w:rsidR="00131CFF" w:rsidRPr="0051225C" w:rsidRDefault="00131CFF" w:rsidP="0051225C">
            <w:pPr>
              <w:numPr>
                <w:ilvl w:val="0"/>
                <w:numId w:val="21"/>
              </w:numPr>
              <w:contextualSpacing/>
              <w:rPr>
                <w:rFonts w:ascii="Calibri" w:eastAsia="Calibri" w:hAnsi="Calibri" w:cs="Times New Roman"/>
                <w:sz w:val="24"/>
                <w:szCs w:val="24"/>
              </w:rPr>
            </w:pPr>
            <w:r w:rsidRPr="0051225C">
              <w:rPr>
                <w:rFonts w:ascii="Calibri" w:eastAsia="Calibri" w:hAnsi="Calibri" w:cs="Times New Roman"/>
                <w:sz w:val="24"/>
                <w:szCs w:val="24"/>
              </w:rPr>
              <w:t>Brecon</w:t>
            </w:r>
          </w:p>
          <w:p w:rsidR="00131CFF" w:rsidRPr="0051225C" w:rsidRDefault="00131CFF" w:rsidP="0051225C">
            <w:pPr>
              <w:numPr>
                <w:ilvl w:val="0"/>
                <w:numId w:val="21"/>
              </w:numPr>
              <w:contextualSpacing/>
              <w:rPr>
                <w:rFonts w:ascii="Calibri" w:eastAsia="Calibri" w:hAnsi="Calibri" w:cs="Times New Roman"/>
                <w:sz w:val="24"/>
                <w:szCs w:val="24"/>
              </w:rPr>
            </w:pPr>
            <w:r w:rsidRPr="0051225C">
              <w:rPr>
                <w:rFonts w:ascii="Calibri" w:eastAsia="Calibri" w:hAnsi="Calibri" w:cs="Times New Roman"/>
                <w:sz w:val="24"/>
                <w:szCs w:val="24"/>
              </w:rPr>
              <w:t xml:space="preserve">Merthyr Tydfil </w:t>
            </w:r>
          </w:p>
          <w:p w:rsidR="00131CFF" w:rsidRPr="0051225C" w:rsidRDefault="00131CFF" w:rsidP="0051225C">
            <w:pPr>
              <w:numPr>
                <w:ilvl w:val="0"/>
                <w:numId w:val="21"/>
              </w:numPr>
              <w:contextualSpacing/>
              <w:rPr>
                <w:rFonts w:ascii="Calibri" w:eastAsia="Calibri" w:hAnsi="Calibri" w:cs="Times New Roman"/>
                <w:sz w:val="24"/>
                <w:szCs w:val="24"/>
              </w:rPr>
            </w:pPr>
            <w:r w:rsidRPr="0051225C">
              <w:rPr>
                <w:rFonts w:ascii="Calibri" w:eastAsia="Calibri" w:hAnsi="Calibri" w:cs="Times New Roman"/>
                <w:sz w:val="24"/>
                <w:szCs w:val="24"/>
              </w:rPr>
              <w:t>Hereford</w:t>
            </w:r>
          </w:p>
          <w:p w:rsidR="00131CFF" w:rsidRPr="0051225C" w:rsidRDefault="00131CFF" w:rsidP="0051225C">
            <w:pPr>
              <w:ind w:left="720"/>
              <w:contextualSpacing/>
              <w:rPr>
                <w:rFonts w:ascii="Calibri" w:eastAsia="Calibri" w:hAnsi="Calibri" w:cs="Times New Roman"/>
                <w:sz w:val="24"/>
                <w:szCs w:val="24"/>
              </w:rPr>
            </w:pP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lastRenderedPageBreak/>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Length and condition of public rights of way</w:t>
            </w:r>
          </w:p>
          <w:p w:rsidR="00131CFF" w:rsidRPr="0051225C" w:rsidRDefault="00131CFF" w:rsidP="0051225C">
            <w:pPr>
              <w:rPr>
                <w:rFonts w:ascii="Calibri" w:eastAsia="Calibri" w:hAnsi="Calibri" w:cs="Times New Roman"/>
                <w:sz w:val="24"/>
                <w:szCs w:val="24"/>
              </w:rPr>
            </w:pP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rPr>
            </w:pPr>
            <w:r w:rsidRPr="0051225C">
              <w:rPr>
                <w:rFonts w:ascii="Calibri" w:eastAsia="Calibri" w:hAnsi="Calibri" w:cs="Times New Roman"/>
              </w:rPr>
              <w:t>In 2006 there was a total of 1,983Km public rights of way within the park area.  By 2013 that had increased to 2,009Km.</w:t>
            </w:r>
          </w:p>
          <w:p w:rsidR="00131CFF" w:rsidRPr="0051225C" w:rsidRDefault="00131CFF" w:rsidP="0051225C">
            <w:pPr>
              <w:rPr>
                <w:rFonts w:ascii="Calibri" w:eastAsia="Calibri" w:hAnsi="Calibri" w:cs="Times New Roman"/>
              </w:rPr>
            </w:pPr>
          </w:p>
          <w:p w:rsidR="00131CFF" w:rsidRPr="0051225C" w:rsidRDefault="00131CFF" w:rsidP="0051225C">
            <w:pPr>
              <w:rPr>
                <w:rFonts w:ascii="Calibri" w:eastAsia="Calibri" w:hAnsi="Calibri" w:cs="Times New Roman"/>
              </w:rPr>
            </w:pPr>
            <w:r w:rsidRPr="0051225C">
              <w:rPr>
                <w:rFonts w:ascii="Calibri" w:eastAsia="Calibri" w:hAnsi="Calibri" w:cs="Times New Roman"/>
              </w:rPr>
              <w:t>The percentage of rights of way that are easy to use was slightly lower in 2013 than in 2006, however there were 26km more rights of way. The number of rights of way that are easy to use has increased since 2010/2011 and this trend is expected to continue. Overall the general condition of this indicator is good.</w:t>
            </w:r>
          </w:p>
          <w:p w:rsidR="00131CFF" w:rsidRPr="0051225C" w:rsidRDefault="00131CFF" w:rsidP="0051225C">
            <w:pPr>
              <w:rPr>
                <w:rFonts w:ascii="Calibri" w:eastAsia="Calibri" w:hAnsi="Calibri" w:cs="Times New Roman"/>
                <w:sz w:val="24"/>
                <w:szCs w:val="24"/>
              </w:rPr>
            </w:pP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eastAsia="Calibri" w:hAnsi="Calibri" w:cs="Times New Roman"/>
              </w:rPr>
              <w:t>Positive</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Public transport routes in the park</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There are 10 local bus routes operating within the National Park.</w:t>
            </w:r>
          </w:p>
          <w:p w:rsidR="00131CFF" w:rsidRPr="0051225C" w:rsidRDefault="00131CFF" w:rsidP="0051225C">
            <w:pPr>
              <w:rPr>
                <w:rFonts w:ascii="Calibri" w:eastAsia="Calibri" w:hAnsi="Calibri" w:cs="Times New Roman"/>
                <w:sz w:val="24"/>
                <w:szCs w:val="24"/>
              </w:rPr>
            </w:pP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24 – Ponsticill-Merthyr Tydfil</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30- Brynmawr- Blaenavon-Pontypool-Newport</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39-Brecon-Hay on Wye – Kingstone – Hereford</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80- Brecon –Llandovery-Carmarthen</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X75-Merthyr Tydfil- Hirwaun- Glynneath-Neath-Swansea</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T4- Newtown-Llandrindod Wells-Brecon-Merthyr Tydfil-Cardiff</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X4- Hereford-Abergavenny-Merthyr Tydfil-Cardiff</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lastRenderedPageBreak/>
              <w:t>X33- Abergavenny-Pontypool-Cwmbran-Cardiff</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X43-Brecon-Crickhowell-Abergavenny</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X63-Brecon-Ystradgynlais-Neath-Swansea </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7 – Cwmaman - Penderyn</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lastRenderedPageBreak/>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Cycle routes in the park</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2 Long-distance National Cycle Routes cross the BBNP</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-National Cycle Route 8, the Taff Trail</w:t>
            </w:r>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-National Cycle Route 42, Lon Las Cymru</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Welsh Indices of Multiple Deprivation</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The National Park area mostly comprises 50% least deprived LSOA.  Areas around the heads of the valley demonstrate higher levels of overall deprivation.</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Crime Statistics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This information is not readily available at National Park level, however, crime statistics appear to be below average within the National Park compared with the rest of Wales.</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Knowledge of Welsh Language</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See Table 1 below for data gathered at Ward level from both the 2001 and 2011 census.</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eastAsia="Calibri" w:hAnsi="Calibri" w:cs="Times New Roman"/>
                <w:sz w:val="24"/>
                <w:szCs w:val="24"/>
              </w:rPr>
              <w:t xml:space="preserve">Negative </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Visitor satisfaction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rPr>
            </w:pPr>
            <w:r w:rsidRPr="0051225C">
              <w:rPr>
                <w:rFonts w:ascii="Calibri" w:eastAsia="Calibri" w:hAnsi="Calibri" w:cs="Times New Roman"/>
              </w:rPr>
              <w:t xml:space="preserve">In November 2013, the Brecon Beacons Marketing and Coordination Group published the results of the annual Brecon Beacons Visitor Survey. Further information on the Visitor Survey can be found here. </w:t>
            </w:r>
            <w:hyperlink r:id="rId9" w:history="1">
              <w:r w:rsidRPr="0051225C">
                <w:rPr>
                  <w:rFonts w:ascii="Calibri" w:eastAsia="Calibri" w:hAnsi="Calibri" w:cs="Times New Roman"/>
                  <w:u w:val="single"/>
                </w:rPr>
                <w:t>http://www.beacons-npa.gov.uk/communities/tourism-new/tourism-facts-and-figures-1/</w:t>
              </w:r>
            </w:hyperlink>
          </w:p>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rPr>
              <w:t xml:space="preserve">Overall, the visit experience is good and almost half (48%) of visitors said it exceeded their expectations and 51% said it met them. Just 1% said that their experience fell short of expectations. This year’s Visit Wales visitor survey shows similar results for Wales as a whole (49% </w:t>
            </w:r>
            <w:r w:rsidRPr="0051225C">
              <w:rPr>
                <w:rFonts w:ascii="Calibri" w:eastAsia="Calibri" w:hAnsi="Calibri" w:cs="Times New Roman"/>
              </w:rPr>
              <w:lastRenderedPageBreak/>
              <w:t>exceeded and 49% met expectations). There is little variation amongst day and overnight visitors. The highest ratings come from new visitors 56% of which say the visit exceeded their expectations. This is encouraging for potential future return visits. Visitors from some areas are slightly more impressed by the area than others. Over half of the visitors coming from London &amp; South East (53%) and overseas (52%) said that expectations were exceeded</w:t>
            </w:r>
          </w:p>
        </w:tc>
        <w:tc>
          <w:tcPr>
            <w:tcW w:w="1078" w:type="dxa"/>
            <w:tcBorders>
              <w:top w:val="nil"/>
              <w:left w:val="nil"/>
              <w:bottom w:val="single" w:sz="8" w:space="0" w:color="auto"/>
              <w:right w:val="single" w:sz="8" w:space="0" w:color="auto"/>
            </w:tcBorders>
          </w:tcPr>
          <w:p w:rsidR="00131CFF" w:rsidRPr="0051225C" w:rsidRDefault="00221080" w:rsidP="0051225C">
            <w:pPr>
              <w:rPr>
                <w:rFonts w:ascii="Calibri" w:eastAsia="Calibri" w:hAnsi="Calibri" w:cs="Times New Roman"/>
              </w:rPr>
            </w:pPr>
            <w:r>
              <w:rPr>
                <w:rFonts w:ascii="Calibri" w:eastAsia="Calibri" w:hAnsi="Calibri" w:cs="Times New Roman"/>
              </w:rPr>
              <w:lastRenderedPageBreak/>
              <w:t>Neutral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highlight w:val="yellow"/>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AA2E8C" w:rsidRDefault="00131CFF" w:rsidP="0051225C">
            <w:pPr>
              <w:rPr>
                <w:rFonts w:ascii="Calibri" w:eastAsia="Calibri" w:hAnsi="Calibri" w:cs="Times New Roman"/>
                <w:sz w:val="24"/>
                <w:szCs w:val="24"/>
              </w:rPr>
            </w:pPr>
            <w:r w:rsidRPr="00AA2E8C">
              <w:rPr>
                <w:rFonts w:ascii="Calibri" w:eastAsia="Calibri" w:hAnsi="Calibri" w:cs="Times New Roman"/>
                <w:sz w:val="24"/>
                <w:szCs w:val="24"/>
              </w:rPr>
              <w:t>Education standards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AA2E8C" w:rsidRDefault="00131CFF" w:rsidP="0051225C">
            <w:pPr>
              <w:rPr>
                <w:rFonts w:ascii="Calibri" w:eastAsia="Calibri" w:hAnsi="Calibri" w:cs="Times New Roman"/>
                <w:sz w:val="24"/>
                <w:szCs w:val="24"/>
              </w:rPr>
            </w:pPr>
            <w:r w:rsidRPr="00AA2E8C">
              <w:rPr>
                <w:rFonts w:ascii="Calibri" w:eastAsia="Calibri" w:hAnsi="Calibri" w:cs="Times New Roman"/>
                <w:sz w:val="24"/>
                <w:szCs w:val="24"/>
              </w:rPr>
              <w:t>The National School Categorisation detailed that of the schools serving the National Park area as follows:-</w:t>
            </w:r>
          </w:p>
          <w:tbl>
            <w:tblPr>
              <w:tblW w:w="0" w:type="auto"/>
              <w:tblCellMar>
                <w:left w:w="0" w:type="dxa"/>
                <w:right w:w="0" w:type="dxa"/>
              </w:tblCellMar>
              <w:tblLook w:val="04A0" w:firstRow="1" w:lastRow="0" w:firstColumn="1" w:lastColumn="0" w:noHBand="0" w:noVBand="1"/>
            </w:tblPr>
            <w:tblGrid>
              <w:gridCol w:w="1266"/>
              <w:gridCol w:w="786"/>
              <w:gridCol w:w="850"/>
              <w:gridCol w:w="851"/>
            </w:tblGrid>
            <w:tr w:rsidR="007937B2" w:rsidRPr="00AA2E8C" w:rsidTr="007937B2">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sidRPr="00AA2E8C">
                    <w:rPr>
                      <w:rFonts w:ascii="Calibri" w:eastAsia="Calibri" w:hAnsi="Calibri" w:cs="Times New Roman"/>
                      <w:b/>
                      <w:bCs/>
                      <w:sz w:val="24"/>
                      <w:szCs w:val="24"/>
                    </w:rPr>
                    <w:t>Category</w:t>
                  </w:r>
                </w:p>
              </w:tc>
              <w:tc>
                <w:tcPr>
                  <w:tcW w:w="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sidRPr="00AA2E8C">
                    <w:rPr>
                      <w:rFonts w:ascii="Calibri" w:eastAsia="Calibri" w:hAnsi="Calibri" w:cs="Times New Roman"/>
                      <w:b/>
                      <w:bCs/>
                      <w:sz w:val="24"/>
                      <w:szCs w:val="24"/>
                    </w:rPr>
                    <w:t>2014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sidRPr="00AA2E8C">
                    <w:rPr>
                      <w:rFonts w:ascii="Calibri" w:eastAsia="Calibri" w:hAnsi="Calibri" w:cs="Times New Roman"/>
                      <w:b/>
                      <w:bCs/>
                      <w:sz w:val="24"/>
                      <w:szCs w:val="24"/>
                    </w:rPr>
                    <w:t>2015</w:t>
                  </w:r>
                </w:p>
              </w:tc>
              <w:tc>
                <w:tcPr>
                  <w:tcW w:w="851" w:type="dxa"/>
                  <w:tcBorders>
                    <w:top w:val="single" w:sz="8" w:space="0" w:color="auto"/>
                    <w:left w:val="nil"/>
                    <w:bottom w:val="single" w:sz="8" w:space="0" w:color="auto"/>
                    <w:right w:val="single" w:sz="8" w:space="0" w:color="auto"/>
                  </w:tcBorders>
                </w:tcPr>
                <w:p w:rsidR="007937B2" w:rsidRPr="00AA2E8C" w:rsidRDefault="007937B2" w:rsidP="0051225C">
                  <w:pPr>
                    <w:rPr>
                      <w:rFonts w:ascii="Calibri" w:eastAsia="Calibri" w:hAnsi="Calibri" w:cs="Times New Roman"/>
                      <w:b/>
                      <w:bCs/>
                      <w:sz w:val="24"/>
                      <w:szCs w:val="24"/>
                    </w:rPr>
                  </w:pPr>
                  <w:r>
                    <w:rPr>
                      <w:rFonts w:ascii="Calibri" w:eastAsia="Calibri" w:hAnsi="Calibri" w:cs="Times New Roman"/>
                      <w:b/>
                      <w:bCs/>
                      <w:sz w:val="24"/>
                      <w:szCs w:val="24"/>
                    </w:rPr>
                    <w:t>2016</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Red</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2%</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eastAsia="Calibri" w:hAnsi="Calibri" w:cs="Times New Roman"/>
                      <w:sz w:val="24"/>
                      <w:szCs w:val="24"/>
                    </w:rPr>
                    <w:t>0%</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Amber</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23%</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eastAsia="Calibri" w:hAnsi="Calibri" w:cs="Times New Roman"/>
                      <w:sz w:val="24"/>
                      <w:szCs w:val="24"/>
                    </w:rPr>
                    <w:t>5%</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Yellow</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41%</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eastAsia="Calibri" w:hAnsi="Calibri" w:cs="Times New Roman"/>
                      <w:sz w:val="24"/>
                      <w:szCs w:val="24"/>
                    </w:rPr>
                    <w:t>46%</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Green</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sidRPr="00AA2E8C">
                    <w:rPr>
                      <w:rFonts w:ascii="Calibri" w:eastAsia="Calibri" w:hAnsi="Calibri" w:cs="Times New Roman"/>
                      <w:sz w:val="24"/>
                      <w:szCs w:val="24"/>
                    </w:rPr>
                    <w:t>34%</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eastAsia="Calibri" w:hAnsi="Calibri" w:cs="Times New Roman"/>
                      <w:sz w:val="24"/>
                      <w:szCs w:val="24"/>
                    </w:rPr>
                    <w:t>49%</w:t>
                  </w:r>
                </w:p>
              </w:tc>
            </w:tr>
          </w:tbl>
          <w:p w:rsidR="00131CFF" w:rsidRPr="00AA2E8C" w:rsidRDefault="00131CFF" w:rsidP="0051225C">
            <w:pPr>
              <w:rPr>
                <w:rFonts w:ascii="Times New Roman" w:eastAsia="Times New Roman" w:hAnsi="Times New Roman" w:cs="Times New Roman"/>
                <w:sz w:val="20"/>
                <w:szCs w:val="20"/>
                <w:lang w:eastAsia="en-GB"/>
              </w:rPr>
            </w:pPr>
          </w:p>
        </w:tc>
        <w:tc>
          <w:tcPr>
            <w:tcW w:w="1078" w:type="dxa"/>
            <w:tcBorders>
              <w:top w:val="nil"/>
              <w:left w:val="nil"/>
              <w:bottom w:val="single" w:sz="8" w:space="0" w:color="auto"/>
              <w:right w:val="single" w:sz="8" w:space="0" w:color="auto"/>
            </w:tcBorders>
          </w:tcPr>
          <w:p w:rsidR="00131CFF" w:rsidRPr="00AA2E8C" w:rsidRDefault="007937B2" w:rsidP="0046197A">
            <w:pPr>
              <w:rPr>
                <w:rFonts w:ascii="Calibri" w:eastAsia="Calibri" w:hAnsi="Calibri" w:cs="Times New Roman"/>
                <w:sz w:val="24"/>
                <w:szCs w:val="24"/>
              </w:rPr>
            </w:pPr>
            <w:r>
              <w:rPr>
                <w:rFonts w:ascii="Calibri" w:eastAsia="Calibri" w:hAnsi="Calibri" w:cs="Times New Roman"/>
                <w:sz w:val="24"/>
                <w:szCs w:val="24"/>
              </w:rPr>
              <w:t>Positive</w:t>
            </w:r>
            <w:r w:rsidR="00222617">
              <w:rPr>
                <w:rFonts w:ascii="Calibri" w:eastAsia="Calibri" w:hAnsi="Calibri" w:cs="Times New Roman"/>
                <w:sz w:val="24"/>
                <w:szCs w:val="24"/>
              </w:rPr>
              <w:t xml:space="preserve"> (</w:t>
            </w:r>
            <w:r>
              <w:rPr>
                <w:rFonts w:ascii="Calibri" w:eastAsia="Calibri" w:hAnsi="Calibri" w:cs="Times New Roman"/>
                <w:sz w:val="24"/>
                <w:szCs w:val="24"/>
              </w:rPr>
              <w:t>T</w:t>
            </w:r>
            <w:r w:rsidR="0046197A">
              <w:rPr>
                <w:rFonts w:ascii="Calibri" w:eastAsia="Calibri" w:hAnsi="Calibri" w:cs="Times New Roman"/>
                <w:sz w:val="24"/>
                <w:szCs w:val="24"/>
              </w:rPr>
              <w:t>he % wit</w:t>
            </w:r>
            <w:r>
              <w:rPr>
                <w:rFonts w:ascii="Calibri" w:eastAsia="Calibri" w:hAnsi="Calibri" w:cs="Times New Roman"/>
                <w:sz w:val="24"/>
                <w:szCs w:val="24"/>
              </w:rPr>
              <w:t>hin Yellow and Green has increased by 5</w:t>
            </w:r>
            <w:r w:rsidR="0046197A">
              <w:rPr>
                <w:rFonts w:ascii="Calibri" w:eastAsia="Calibri" w:hAnsi="Calibri" w:cs="Times New Roman"/>
                <w:sz w:val="24"/>
                <w:szCs w:val="24"/>
              </w:rPr>
              <w:t>%</w:t>
            </w:r>
            <w:r>
              <w:rPr>
                <w:rFonts w:ascii="Calibri" w:eastAsia="Calibri" w:hAnsi="Calibri" w:cs="Times New Roman"/>
                <w:sz w:val="24"/>
                <w:szCs w:val="24"/>
              </w:rPr>
              <w:t xml:space="preserve"> and 15% respectively and the % within Amber and Red has reduced from 25% to just 5%</w:t>
            </w:r>
            <w:r w:rsidR="0046197A">
              <w:rPr>
                <w:rFonts w:ascii="Calibri" w:eastAsia="Calibri" w:hAnsi="Calibri" w:cs="Times New Roman"/>
                <w:sz w:val="24"/>
                <w:szCs w:val="24"/>
              </w:rPr>
              <w:t>)</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Number of farms and farmers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 xml:space="preserve">Data from 2014 demonstrates that there were 1,445 jobs provided within agriculture, forestry, fishing within the Brecon Beacons National Park.   However this sector is decreasing within the National Park.  Jobs in agriculture and fishery made up 10% of employment type in 1991.  By 2001 this had </w:t>
            </w:r>
            <w:r w:rsidRPr="0051225C">
              <w:rPr>
                <w:rFonts w:ascii="Calibri" w:eastAsia="Calibri" w:hAnsi="Calibri" w:cs="Times New Roman"/>
                <w:sz w:val="24"/>
                <w:szCs w:val="24"/>
              </w:rPr>
              <w:lastRenderedPageBreak/>
              <w:t>reduced to 7.3% and by 2011 this sector accounted for 5.9% of employment types within the National Park. (Source SOPR)</w:t>
            </w:r>
          </w:p>
        </w:tc>
        <w:tc>
          <w:tcPr>
            <w:tcW w:w="1078" w:type="dxa"/>
            <w:tcBorders>
              <w:top w:val="nil"/>
              <w:left w:val="nil"/>
              <w:bottom w:val="single" w:sz="8" w:space="0" w:color="auto"/>
              <w:right w:val="single" w:sz="8" w:space="0" w:color="auto"/>
            </w:tcBorders>
          </w:tcPr>
          <w:p w:rsidR="00131CFF" w:rsidRPr="0051225C" w:rsidRDefault="0046197A" w:rsidP="0051225C">
            <w:pPr>
              <w:rPr>
                <w:rFonts w:ascii="Calibri" w:eastAsia="Calibri" w:hAnsi="Calibri" w:cs="Times New Roman"/>
                <w:sz w:val="24"/>
                <w:szCs w:val="24"/>
              </w:rPr>
            </w:pPr>
            <w:r>
              <w:rPr>
                <w:rFonts w:ascii="Calibri" w:eastAsia="Calibri" w:hAnsi="Calibri" w:cs="Times New Roman"/>
                <w:sz w:val="24"/>
                <w:szCs w:val="24"/>
              </w:rPr>
              <w:lastRenderedPageBreak/>
              <w:t>Negative</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Tourist Spending</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sidRPr="0051225C">
              <w:rPr>
                <w:rFonts w:ascii="Calibri" w:eastAsia="Calibri" w:hAnsi="Calibri" w:cs="Times New Roman"/>
                <w:sz w:val="24"/>
                <w:szCs w:val="24"/>
              </w:rPr>
              <w:t>Tourism Spend in 2009 was £197 million increasing to £216 million by 2013</w:t>
            </w:r>
            <w:r w:rsidR="00150CA1">
              <w:rPr>
                <w:rFonts w:ascii="Calibri" w:eastAsia="Calibri" w:hAnsi="Calibri" w:cs="Times New Roman"/>
                <w:sz w:val="24"/>
                <w:szCs w:val="24"/>
              </w:rPr>
              <w:t xml:space="preserve"> and </w:t>
            </w:r>
            <w:r w:rsidR="00556E63">
              <w:rPr>
                <w:rFonts w:ascii="Calibri" w:eastAsia="Calibri" w:hAnsi="Calibri" w:cs="Times New Roman"/>
                <w:sz w:val="24"/>
                <w:szCs w:val="24"/>
              </w:rPr>
              <w:t>£247 million by 2016</w:t>
            </w:r>
            <w:r w:rsidR="00556E63" w:rsidRPr="0051225C">
              <w:rPr>
                <w:rFonts w:ascii="Calibri" w:eastAsia="Calibri" w:hAnsi="Calibri" w:cs="Times New Roman"/>
                <w:sz w:val="24"/>
                <w:szCs w:val="24"/>
              </w:rPr>
              <w:t xml:space="preserve"> </w:t>
            </w:r>
            <w:r w:rsidRPr="0051225C">
              <w:rPr>
                <w:rFonts w:ascii="Calibri" w:eastAsia="Calibri" w:hAnsi="Calibri" w:cs="Times New Roman"/>
                <w:sz w:val="24"/>
                <w:szCs w:val="24"/>
              </w:rPr>
              <w:t>(STEAM data)</w:t>
            </w:r>
            <w:r w:rsidR="00556E63">
              <w:rPr>
                <w:rFonts w:ascii="Calibri" w:eastAsia="Calibri" w:hAnsi="Calibri" w:cs="Times New Roman"/>
                <w:sz w:val="24"/>
                <w:szCs w:val="24"/>
              </w:rPr>
              <w:t>.</w:t>
            </w:r>
          </w:p>
        </w:tc>
        <w:tc>
          <w:tcPr>
            <w:tcW w:w="1078" w:type="dxa"/>
            <w:tcBorders>
              <w:top w:val="nil"/>
              <w:left w:val="nil"/>
              <w:bottom w:val="single" w:sz="8" w:space="0" w:color="auto"/>
              <w:right w:val="single" w:sz="8" w:space="0" w:color="auto"/>
            </w:tcBorders>
          </w:tcPr>
          <w:p w:rsidR="00131CFF" w:rsidRPr="0051225C" w:rsidRDefault="0046197A" w:rsidP="0051225C">
            <w:pPr>
              <w:rPr>
                <w:rFonts w:ascii="Calibri" w:eastAsia="Calibri" w:hAnsi="Calibri" w:cs="Times New Roman"/>
                <w:sz w:val="24"/>
                <w:szCs w:val="24"/>
              </w:rPr>
            </w:pPr>
            <w:r>
              <w:rPr>
                <w:rFonts w:ascii="Calibri" w:eastAsia="Calibri" w:hAnsi="Calibri" w:cs="Times New Roman"/>
                <w:sz w:val="24"/>
                <w:szCs w:val="24"/>
              </w:rPr>
              <w:t>Positive</w:t>
            </w:r>
          </w:p>
        </w:tc>
      </w:tr>
    </w:tbl>
    <w:p w:rsidR="007256D7" w:rsidRDefault="007256D7" w:rsidP="008042B7">
      <w:pPr>
        <w:ind w:left="360"/>
        <w:jc w:val="both"/>
        <w:rPr>
          <w:b/>
        </w:rPr>
      </w:pPr>
    </w:p>
    <w:p w:rsidR="00270347" w:rsidRDefault="00270347" w:rsidP="008042B7">
      <w:pPr>
        <w:ind w:left="360"/>
        <w:jc w:val="both"/>
        <w:rPr>
          <w:b/>
        </w:rPr>
      </w:pPr>
    </w:p>
    <w:p w:rsidR="00270347" w:rsidRPr="00270347" w:rsidRDefault="007256D7">
      <w:pPr>
        <w:rPr>
          <w:b/>
        </w:rPr>
      </w:pPr>
      <w:r>
        <w:rPr>
          <w:b/>
        </w:rPr>
        <w:t>Table 1 Knowledge of Welsh La</w:t>
      </w:r>
      <w:r w:rsidR="00270347">
        <w:rPr>
          <w:b/>
        </w:rPr>
        <w:t>nguage within the National Park</w:t>
      </w:r>
    </w:p>
    <w:p w:rsidR="007256D7" w:rsidRDefault="007256D7">
      <w:r>
        <w:t>This table shows data returns for both the 2001 and 2011 Cen</w:t>
      </w:r>
      <w:r w:rsidR="004D63D6">
        <w:t>sus and demonstrates the level of welsh speaking within the National Park by electoral ward.  As not all wards are wholly within the National Park area, the percentage of population for each ward residing within the National Park is also given.  Those wards listed in Red have seen a drop in the level of welsh speaking and knowledge of welsh, whereas those in green there has been a rise in knowledge of Welsh/residents ability to communicate in Welsh</w:t>
      </w:r>
    </w:p>
    <w:p w:rsidR="004D63D6" w:rsidRDefault="004D63D6"/>
    <w:tbl>
      <w:tblPr>
        <w:tblW w:w="5000" w:type="pct"/>
        <w:tblLook w:val="04A0" w:firstRow="1" w:lastRow="0" w:firstColumn="1" w:lastColumn="0" w:noHBand="0" w:noVBand="1"/>
      </w:tblPr>
      <w:tblGrid>
        <w:gridCol w:w="3061"/>
        <w:gridCol w:w="1187"/>
        <w:gridCol w:w="1187"/>
        <w:gridCol w:w="1187"/>
        <w:gridCol w:w="1187"/>
        <w:gridCol w:w="1187"/>
      </w:tblGrid>
      <w:tr w:rsidR="004D63D6" w:rsidRPr="000940B7" w:rsidTr="00FA730F">
        <w:trPr>
          <w:trHeight w:val="300"/>
        </w:trPr>
        <w:tc>
          <w:tcPr>
            <w:tcW w:w="243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4D63D6" w:rsidRPr="000940B7" w:rsidRDefault="004D63D6" w:rsidP="003B6D80">
            <w:pPr>
              <w:rPr>
                <w:rFonts w:ascii="Arial" w:eastAsia="Times New Roman" w:hAnsi="Arial" w:cs="Arial"/>
                <w:color w:val="000000" w:themeColor="text1"/>
                <w:sz w:val="20"/>
                <w:szCs w:val="20"/>
                <w:lang w:eastAsia="en-GB"/>
              </w:rPr>
            </w:pPr>
            <w:r>
              <w:rPr>
                <w:rFonts w:ascii="Arial" w:eastAsia="Times New Roman" w:hAnsi="Arial" w:cs="Arial"/>
                <w:b/>
                <w:color w:val="000000" w:themeColor="text1"/>
                <w:sz w:val="16"/>
                <w:szCs w:val="16"/>
                <w:lang w:eastAsia="en-GB"/>
              </w:rPr>
              <w:t xml:space="preserve">Knowledge of Welsh Language </w:t>
            </w:r>
          </w:p>
        </w:tc>
        <w:tc>
          <w:tcPr>
            <w:tcW w:w="1284"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4D63D6" w:rsidRPr="000940B7" w:rsidRDefault="004D63D6" w:rsidP="003B6D80">
            <w:pPr>
              <w:rPr>
                <w:rFonts w:ascii="Arial" w:eastAsia="Times New Roman" w:hAnsi="Arial" w:cs="Arial"/>
                <w:color w:val="000000" w:themeColor="text1"/>
                <w:sz w:val="20"/>
                <w:szCs w:val="20"/>
                <w:lang w:eastAsia="en-GB"/>
              </w:rPr>
            </w:pPr>
            <w:r w:rsidRPr="000940B7">
              <w:rPr>
                <w:rFonts w:ascii="Arial" w:eastAsia="Times New Roman" w:hAnsi="Arial" w:cs="Arial"/>
                <w:color w:val="000000" w:themeColor="text1"/>
                <w:sz w:val="20"/>
                <w:szCs w:val="20"/>
                <w:lang w:eastAsia="en-GB"/>
              </w:rPr>
              <w:t>2001</w:t>
            </w:r>
          </w:p>
        </w:tc>
        <w:tc>
          <w:tcPr>
            <w:tcW w:w="1285" w:type="pct"/>
            <w:gridSpan w:val="2"/>
            <w:tcBorders>
              <w:top w:val="single" w:sz="12" w:space="0" w:color="auto"/>
              <w:left w:val="single" w:sz="12" w:space="0" w:color="auto"/>
              <w:bottom w:val="single" w:sz="4" w:space="0" w:color="auto"/>
              <w:right w:val="single" w:sz="12" w:space="0" w:color="auto"/>
            </w:tcBorders>
          </w:tcPr>
          <w:p w:rsidR="004D63D6" w:rsidRPr="000940B7" w:rsidRDefault="004D63D6" w:rsidP="003B6D80">
            <w:pPr>
              <w:rPr>
                <w:rFonts w:ascii="Arial" w:eastAsia="Times New Roman" w:hAnsi="Arial" w:cs="Arial"/>
                <w:color w:val="000000" w:themeColor="text1"/>
                <w:sz w:val="20"/>
                <w:szCs w:val="20"/>
                <w:lang w:eastAsia="en-GB"/>
              </w:rPr>
            </w:pPr>
            <w:r w:rsidRPr="000940B7">
              <w:rPr>
                <w:rFonts w:ascii="Arial" w:eastAsia="Times New Roman" w:hAnsi="Arial" w:cs="Arial"/>
                <w:color w:val="000000" w:themeColor="text1"/>
                <w:sz w:val="20"/>
                <w:szCs w:val="20"/>
                <w:lang w:eastAsia="en-GB"/>
              </w:rPr>
              <w:t>2011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0000" w:themeColor="text1"/>
                <w:sz w:val="18"/>
                <w:szCs w:val="18"/>
                <w:lang w:eastAsia="en-GB"/>
              </w:rPr>
            </w:pPr>
            <w:r w:rsidRPr="004D7153">
              <w:rPr>
                <w:rFonts w:ascii="Arial" w:eastAsia="Times New Roman" w:hAnsi="Arial" w:cs="Arial"/>
                <w:b/>
                <w:color w:val="000000" w:themeColor="text1"/>
                <w:sz w:val="18"/>
                <w:szCs w:val="18"/>
                <w:lang w:eastAsia="en-GB"/>
              </w:rPr>
              <w:t>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4D63D6" w:rsidRPr="000940B7" w:rsidRDefault="004D63D6" w:rsidP="003B6D80">
            <w:pPr>
              <w:rPr>
                <w:rFonts w:ascii="Arial" w:eastAsia="Times New Roman" w:hAnsi="Arial" w:cs="Arial"/>
                <w:b/>
                <w:color w:val="000000" w:themeColor="text1"/>
                <w:sz w:val="18"/>
                <w:szCs w:val="18"/>
                <w:lang w:eastAsia="en-GB"/>
              </w:rPr>
            </w:pPr>
            <w:r w:rsidRPr="000940B7">
              <w:rPr>
                <w:rFonts w:ascii="Arial" w:eastAsia="Times New Roman" w:hAnsi="Arial" w:cs="Arial"/>
                <w:b/>
                <w:color w:val="000000" w:themeColor="text1"/>
                <w:sz w:val="18"/>
                <w:szCs w:val="18"/>
                <w:lang w:eastAsia="en-GB"/>
              </w:rPr>
              <w:t>Percentage of population within boundary</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tcPr>
          <w:p w:rsidR="004D63D6" w:rsidRPr="000940B7" w:rsidRDefault="004D63D6" w:rsidP="003B6D80">
            <w:pPr>
              <w:rPr>
                <w:rFonts w:ascii="Arial" w:eastAsia="Times New Roman" w:hAnsi="Arial" w:cs="Arial"/>
                <w:b/>
                <w:color w:val="000000" w:themeColor="text1"/>
                <w:sz w:val="18"/>
                <w:szCs w:val="18"/>
                <w:lang w:eastAsia="en-GB"/>
              </w:rPr>
            </w:pPr>
            <w:r w:rsidRPr="000940B7">
              <w:rPr>
                <w:rFonts w:ascii="Arial" w:eastAsia="Times New Roman" w:hAnsi="Arial" w:cs="Arial"/>
                <w:b/>
                <w:color w:val="000000" w:themeColor="text1"/>
                <w:sz w:val="18"/>
                <w:szCs w:val="18"/>
                <w:lang w:eastAsia="en-GB"/>
              </w:rPr>
              <w:t xml:space="preserve">Percentage with some Knowledge of Welsh </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tcPr>
          <w:p w:rsidR="004D63D6" w:rsidRPr="000940B7" w:rsidRDefault="004D63D6" w:rsidP="003B6D80">
            <w:pPr>
              <w:rPr>
                <w:rFonts w:ascii="Arial" w:eastAsia="Times New Roman" w:hAnsi="Arial" w:cs="Arial"/>
                <w:b/>
                <w:color w:val="000000" w:themeColor="text1"/>
                <w:sz w:val="18"/>
                <w:szCs w:val="18"/>
                <w:lang w:eastAsia="en-GB"/>
              </w:rPr>
            </w:pPr>
            <w:r w:rsidRPr="000940B7">
              <w:rPr>
                <w:rFonts w:ascii="Arial" w:eastAsia="Times New Roman" w:hAnsi="Arial" w:cs="Arial"/>
                <w:b/>
                <w:color w:val="000000" w:themeColor="text1"/>
                <w:sz w:val="18"/>
                <w:szCs w:val="18"/>
                <w:lang w:eastAsia="en-GB"/>
              </w:rPr>
              <w:t xml:space="preserve">Percentage can speak, write and read Welsh </w:t>
            </w:r>
          </w:p>
        </w:tc>
        <w:tc>
          <w:tcPr>
            <w:tcW w:w="642" w:type="pct"/>
            <w:tcBorders>
              <w:top w:val="nil"/>
              <w:left w:val="single" w:sz="12" w:space="0" w:color="auto"/>
              <w:bottom w:val="single" w:sz="4" w:space="0" w:color="auto"/>
              <w:right w:val="single" w:sz="4" w:space="0" w:color="auto"/>
            </w:tcBorders>
          </w:tcPr>
          <w:p w:rsidR="004D63D6" w:rsidRPr="000940B7" w:rsidRDefault="004D63D6" w:rsidP="003B6D80">
            <w:pPr>
              <w:rPr>
                <w:rFonts w:ascii="Arial" w:eastAsia="Times New Roman" w:hAnsi="Arial" w:cs="Arial"/>
                <w:b/>
                <w:color w:val="000000" w:themeColor="text1"/>
                <w:sz w:val="18"/>
                <w:szCs w:val="18"/>
                <w:lang w:eastAsia="en-GB"/>
              </w:rPr>
            </w:pPr>
            <w:r w:rsidRPr="000940B7">
              <w:rPr>
                <w:rFonts w:ascii="Arial" w:eastAsia="Times New Roman" w:hAnsi="Arial" w:cs="Arial"/>
                <w:b/>
                <w:color w:val="000000" w:themeColor="text1"/>
                <w:sz w:val="18"/>
                <w:szCs w:val="18"/>
                <w:lang w:eastAsia="en-GB"/>
              </w:rPr>
              <w:t xml:space="preserve">Percentage with some knowledge of Welsh </w:t>
            </w:r>
          </w:p>
        </w:tc>
        <w:tc>
          <w:tcPr>
            <w:tcW w:w="643" w:type="pct"/>
            <w:tcBorders>
              <w:top w:val="nil"/>
              <w:left w:val="single" w:sz="4" w:space="0" w:color="auto"/>
              <w:bottom w:val="single" w:sz="4" w:space="0" w:color="auto"/>
              <w:right w:val="single" w:sz="12" w:space="0" w:color="auto"/>
            </w:tcBorders>
          </w:tcPr>
          <w:p w:rsidR="004D63D6" w:rsidRPr="000940B7" w:rsidRDefault="004D63D6" w:rsidP="003B6D80">
            <w:pPr>
              <w:rPr>
                <w:rFonts w:ascii="Arial" w:eastAsia="Times New Roman" w:hAnsi="Arial" w:cs="Arial"/>
                <w:b/>
                <w:color w:val="000000" w:themeColor="text1"/>
                <w:sz w:val="18"/>
                <w:szCs w:val="18"/>
                <w:lang w:eastAsia="en-GB"/>
              </w:rPr>
            </w:pPr>
            <w:r w:rsidRPr="000940B7">
              <w:rPr>
                <w:rFonts w:ascii="Arial" w:eastAsia="Times New Roman" w:hAnsi="Arial" w:cs="Arial"/>
                <w:b/>
                <w:color w:val="000000" w:themeColor="text1"/>
                <w:sz w:val="18"/>
                <w:szCs w:val="18"/>
                <w:lang w:eastAsia="en-GB"/>
              </w:rPr>
              <w:t>Percentage can speak, write and read Welsh</w:t>
            </w:r>
          </w:p>
        </w:tc>
      </w:tr>
      <w:tr w:rsidR="004D63D6" w:rsidRPr="000940B7" w:rsidTr="00FA730F">
        <w:trPr>
          <w:trHeight w:val="340"/>
        </w:trPr>
        <w:tc>
          <w:tcPr>
            <w:tcW w:w="1788" w:type="pct"/>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bottom"/>
            <w:hideMark/>
          </w:tcPr>
          <w:p w:rsidR="004D63D6" w:rsidRPr="004D7153" w:rsidRDefault="004D63D6" w:rsidP="003B6D80">
            <w:pPr>
              <w:rPr>
                <w:rFonts w:ascii="Arial" w:eastAsia="Times New Roman" w:hAnsi="Arial" w:cs="Arial"/>
                <w:b/>
                <w:bCs/>
                <w:color w:val="000000" w:themeColor="text1"/>
                <w:sz w:val="16"/>
                <w:szCs w:val="16"/>
                <w:lang w:eastAsia="en-GB"/>
              </w:rPr>
            </w:pPr>
            <w:r w:rsidRPr="000940B7">
              <w:rPr>
                <w:rFonts w:ascii="Arial" w:eastAsia="Times New Roman" w:hAnsi="Arial" w:cs="Arial"/>
                <w:b/>
                <w:bCs/>
                <w:color w:val="000000" w:themeColor="text1"/>
                <w:sz w:val="16"/>
                <w:szCs w:val="16"/>
                <w:lang w:eastAsia="en-GB"/>
              </w:rPr>
              <w:t xml:space="preserve"> Ward </w:t>
            </w:r>
            <w:r w:rsidRPr="004D7153">
              <w:rPr>
                <w:rFonts w:ascii="Arial" w:eastAsia="Times New Roman" w:hAnsi="Arial" w:cs="Arial"/>
                <w:b/>
                <w:bCs/>
                <w:color w:val="000000" w:themeColor="text1"/>
                <w:sz w:val="16"/>
                <w:szCs w:val="16"/>
                <w:lang w:eastAsia="en-GB"/>
              </w:rPr>
              <w:t>Name</w:t>
            </w:r>
            <w:r w:rsidRPr="000940B7">
              <w:rPr>
                <w:rFonts w:ascii="Arial" w:eastAsia="Times New Roman" w:hAnsi="Arial" w:cs="Arial"/>
                <w:b/>
                <w:bCs/>
                <w:color w:val="000000" w:themeColor="text1"/>
                <w:sz w:val="16"/>
                <w:szCs w:val="16"/>
                <w:lang w:eastAsia="en-GB"/>
              </w:rPr>
              <w:t xml:space="preserve">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12" w:space="0" w:color="auto"/>
              <w:bottom w:val="single" w:sz="4" w:space="0" w:color="auto"/>
              <w:right w:val="single" w:sz="4"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4" w:space="0" w:color="auto"/>
              <w:bottom w:val="single" w:sz="4" w:space="0" w:color="auto"/>
              <w:right w:val="single" w:sz="12"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12" w:space="0" w:color="auto"/>
              <w:bottom w:val="single" w:sz="4" w:space="0" w:color="auto"/>
              <w:right w:val="single" w:sz="4"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3" w:type="pct"/>
            <w:tcBorders>
              <w:top w:val="nil"/>
              <w:left w:val="single" w:sz="4" w:space="0" w:color="auto"/>
              <w:bottom w:val="single" w:sz="4" w:space="0" w:color="auto"/>
              <w:right w:val="single" w:sz="12"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Abercraf</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64.0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58.89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26.28</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Bwlch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16.4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18.23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7.80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Crickhowell &amp; Vale of Grwyne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16.6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14.35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6.39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Cwmtwrch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70.9</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39.7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65.12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30.70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Honddu Isaf/Llanddew (Felinfach)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21.48</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9.85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Gwernyfed + Llanigon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15.4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14.87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6.81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Hay</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14.39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5.82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Llangattock</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16.6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17.92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5.91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Llangors</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23.0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10.7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19.63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8.52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lastRenderedPageBreak/>
              <w:t>Llangynidr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22.9</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18.24</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8.59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Maescar/Llywel, Crai</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42.6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20.4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40.16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18.09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Brecon St Davids</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22.4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9.4</w:t>
            </w:r>
          </w:p>
        </w:tc>
        <w:tc>
          <w:tcPr>
            <w:tcW w:w="642" w:type="pct"/>
            <w:vMerge w:val="restart"/>
            <w:tcBorders>
              <w:top w:val="nil"/>
              <w:left w:val="single" w:sz="12" w:space="0" w:color="auto"/>
              <w:right w:val="single" w:sz="4" w:space="0" w:color="auto"/>
            </w:tcBorders>
          </w:tcPr>
          <w:p w:rsidR="004D63D6" w:rsidRPr="004261A8" w:rsidRDefault="004D63D6" w:rsidP="003B6D80">
            <w:pPr>
              <w:jc w:val="right"/>
              <w:rPr>
                <w:rFonts w:ascii="Calibri" w:hAnsi="Calibri" w:cs="Arial"/>
                <w:bCs/>
              </w:rPr>
            </w:pPr>
            <w:r w:rsidRPr="004261A8">
              <w:rPr>
                <w:rFonts w:ascii="Calibri" w:hAnsi="Calibri" w:cs="Arial"/>
                <w:bCs/>
              </w:rPr>
              <w:t>20.65</w:t>
            </w:r>
          </w:p>
        </w:tc>
        <w:tc>
          <w:tcPr>
            <w:tcW w:w="643" w:type="pct"/>
            <w:vMerge w:val="restart"/>
            <w:tcBorders>
              <w:top w:val="nil"/>
              <w:left w:val="single" w:sz="4" w:space="0" w:color="auto"/>
              <w:right w:val="single" w:sz="12" w:space="0" w:color="auto"/>
            </w:tcBorders>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9.15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Brecon St Johns</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12.9</w:t>
            </w:r>
          </w:p>
        </w:tc>
        <w:tc>
          <w:tcPr>
            <w:tcW w:w="642" w:type="pct"/>
            <w:vMerge/>
            <w:tcBorders>
              <w:left w:val="single" w:sz="12" w:space="0" w:color="auto"/>
              <w:right w:val="single" w:sz="4" w:space="0" w:color="auto"/>
            </w:tcBorders>
            <w:vAlign w:val="center"/>
          </w:tcPr>
          <w:p w:rsidR="004D63D6" w:rsidRPr="004261A8" w:rsidRDefault="004D63D6" w:rsidP="003B6D80">
            <w:pPr>
              <w:rPr>
                <w:rFonts w:ascii="Arial" w:hAnsi="Arial" w:cs="Arial"/>
                <w:bCs/>
                <w:sz w:val="20"/>
                <w:szCs w:val="20"/>
              </w:rPr>
            </w:pPr>
          </w:p>
        </w:tc>
        <w:tc>
          <w:tcPr>
            <w:tcW w:w="643" w:type="pct"/>
            <w:vMerge/>
            <w:tcBorders>
              <w:left w:val="single" w:sz="4" w:space="0" w:color="auto"/>
              <w:right w:val="single" w:sz="12" w:space="0" w:color="auto"/>
            </w:tcBorders>
            <w:vAlign w:val="center"/>
          </w:tcPr>
          <w:p w:rsidR="004D63D6" w:rsidRPr="004261A8" w:rsidRDefault="004D63D6" w:rsidP="003B6D80">
            <w:pPr>
              <w:rPr>
                <w:rFonts w:ascii="Arial" w:eastAsia="Times New Roman" w:hAnsi="Arial" w:cs="Arial"/>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Brecon St Marys</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21.0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9.8</w:t>
            </w:r>
          </w:p>
        </w:tc>
        <w:tc>
          <w:tcPr>
            <w:tcW w:w="642" w:type="pct"/>
            <w:vMerge/>
            <w:tcBorders>
              <w:left w:val="single" w:sz="12" w:space="0" w:color="auto"/>
              <w:bottom w:val="single" w:sz="4" w:space="0" w:color="auto"/>
              <w:right w:val="single" w:sz="4" w:space="0" w:color="auto"/>
            </w:tcBorders>
            <w:vAlign w:val="center"/>
          </w:tcPr>
          <w:p w:rsidR="004D63D6" w:rsidRPr="004261A8" w:rsidRDefault="004D63D6" w:rsidP="003B6D80">
            <w:pPr>
              <w:rPr>
                <w:rFonts w:ascii="Arial" w:hAnsi="Arial" w:cs="Arial"/>
                <w:bCs/>
                <w:sz w:val="20"/>
                <w:szCs w:val="20"/>
              </w:rPr>
            </w:pPr>
          </w:p>
        </w:tc>
        <w:tc>
          <w:tcPr>
            <w:tcW w:w="643" w:type="pct"/>
            <w:vMerge/>
            <w:tcBorders>
              <w:left w:val="single" w:sz="4" w:space="0" w:color="auto"/>
              <w:bottom w:val="single" w:sz="4" w:space="0" w:color="auto"/>
              <w:right w:val="single" w:sz="12" w:space="0" w:color="auto"/>
            </w:tcBorders>
            <w:vAlign w:val="center"/>
          </w:tcPr>
          <w:p w:rsidR="004D63D6" w:rsidRPr="004261A8" w:rsidRDefault="004D63D6" w:rsidP="003B6D80">
            <w:pPr>
              <w:rPr>
                <w:rFonts w:ascii="Arial" w:eastAsia="Times New Roman" w:hAnsi="Arial" w:cs="Arial"/>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Talgarth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96%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19.7</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20.07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8.47</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Talybont, Glyntarell, Llanfrynach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93%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23.2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11.2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22.15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8.32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Tawe-Uchaf/Fellte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57%</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49.4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21.4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42.97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16.24</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 xml:space="preserve">Yscir, Trallong,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29%</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29.6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27.55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12.33</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Ystradgynlais rural</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66.7</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31.7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57.23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24.61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Garnant Cwmamman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79.4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55.0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69.47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41.61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Glanamman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77.6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52.3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70.47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41.80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Dyffryn Cennen (Llandeilo)</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70.0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42.9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66.54</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36.82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Llandovery, Llanfair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5%</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60.2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35.7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54.07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29.38</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Llandybie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Less than 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46.2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71.41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38.78</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Llangadog,Llanddeusant,Myddfai</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45%</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69.0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51.6</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65.16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43.81</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Quarter Bach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83.3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61.7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76.62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51.25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Rhigos (Hirwaun)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49%</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32.5</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13.9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29.59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12.35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Vaynor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12%</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21.3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7.8</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18.05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6.79</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Brynmawr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14.8</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6.8</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11.86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5.75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Pontypool New Inn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13.5</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11.91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5.83</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Abergavenny north (Cantref)</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13.41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6.24</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Crucorney</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14.29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7.45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Goetre Fawr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14.3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15.71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8.23</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Llanelly</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7.6</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14.23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6.49</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Llanfoist Fawr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17%</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15.85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8.51</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Llanover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12.2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12.18</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6.45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lang w:eastAsia="en-GB"/>
              </w:rPr>
            </w:pPr>
            <w:r w:rsidRPr="004D7153">
              <w:rPr>
                <w:rFonts w:ascii="Arial" w:eastAsia="Times New Roman" w:hAnsi="Arial" w:cs="Arial"/>
                <w:b/>
                <w:color w:val="FF0000"/>
                <w:sz w:val="16"/>
                <w:szCs w:val="16"/>
                <w:lang w:eastAsia="en-GB"/>
              </w:rPr>
              <w:t>Llanfoist Llanwenarth Ultra</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14.3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7.1</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13.61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6.36</w:t>
            </w:r>
          </w:p>
        </w:tc>
      </w:tr>
      <w:tr w:rsidR="004D63D6" w:rsidRPr="000940B7" w:rsidTr="00FA730F">
        <w:trPr>
          <w:trHeight w:val="300"/>
        </w:trPr>
        <w:tc>
          <w:tcPr>
            <w:tcW w:w="1788"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lang w:eastAsia="en-GB"/>
              </w:rPr>
            </w:pPr>
            <w:r w:rsidRPr="004D7153">
              <w:rPr>
                <w:rFonts w:ascii="Arial" w:eastAsia="Times New Roman" w:hAnsi="Arial" w:cs="Arial"/>
                <w:b/>
                <w:color w:val="00B050"/>
                <w:sz w:val="16"/>
                <w:szCs w:val="16"/>
                <w:lang w:eastAsia="en-GB"/>
              </w:rPr>
              <w:t>Llantilio Pertholey Mardy</w:t>
            </w:r>
          </w:p>
        </w:tc>
        <w:tc>
          <w:tcPr>
            <w:tcW w:w="642" w:type="pct"/>
            <w:tcBorders>
              <w:top w:val="single" w:sz="4" w:space="0" w:color="auto"/>
              <w:left w:val="single" w:sz="12" w:space="0" w:color="auto"/>
              <w:bottom w:val="single" w:sz="12"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sidRPr="004261A8">
              <w:rPr>
                <w:rFonts w:ascii="Arial" w:hAnsi="Arial" w:cs="Arial"/>
                <w:sz w:val="20"/>
                <w:szCs w:val="20"/>
              </w:rPr>
              <w:t>13%</w:t>
            </w:r>
          </w:p>
        </w:tc>
        <w:tc>
          <w:tcPr>
            <w:tcW w:w="642" w:type="pct"/>
            <w:tcBorders>
              <w:top w:val="nil"/>
              <w:left w:val="single" w:sz="12" w:space="0" w:color="auto"/>
              <w:bottom w:val="single" w:sz="12"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14.2</w:t>
            </w:r>
          </w:p>
        </w:tc>
        <w:tc>
          <w:tcPr>
            <w:tcW w:w="642" w:type="pct"/>
            <w:tcBorders>
              <w:top w:val="nil"/>
              <w:left w:val="single" w:sz="4" w:space="0" w:color="auto"/>
              <w:bottom w:val="single" w:sz="12"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7.4</w:t>
            </w:r>
          </w:p>
        </w:tc>
        <w:tc>
          <w:tcPr>
            <w:tcW w:w="642" w:type="pct"/>
            <w:tcBorders>
              <w:top w:val="nil"/>
              <w:left w:val="single" w:sz="12" w:space="0" w:color="auto"/>
              <w:bottom w:val="single" w:sz="12" w:space="0" w:color="auto"/>
              <w:right w:val="single" w:sz="4" w:space="0" w:color="auto"/>
            </w:tcBorders>
            <w:vAlign w:val="bottom"/>
          </w:tcPr>
          <w:p w:rsidR="004D63D6" w:rsidRPr="004261A8" w:rsidRDefault="004D63D6" w:rsidP="003B6D80">
            <w:pPr>
              <w:jc w:val="right"/>
              <w:rPr>
                <w:rFonts w:ascii="Calibri" w:hAnsi="Calibri" w:cs="Arial"/>
                <w:bCs/>
              </w:rPr>
            </w:pPr>
            <w:r w:rsidRPr="004261A8">
              <w:rPr>
                <w:rFonts w:ascii="Calibri" w:hAnsi="Calibri" w:cs="Arial"/>
                <w:bCs/>
              </w:rPr>
              <w:t>16.27</w:t>
            </w:r>
          </w:p>
        </w:tc>
        <w:tc>
          <w:tcPr>
            <w:tcW w:w="643" w:type="pct"/>
            <w:tcBorders>
              <w:top w:val="nil"/>
              <w:left w:val="single" w:sz="4" w:space="0" w:color="auto"/>
              <w:bottom w:val="single" w:sz="12"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sidRPr="004261A8">
              <w:rPr>
                <w:rFonts w:ascii="Arial" w:hAnsi="Arial" w:cs="Arial"/>
                <w:bCs/>
                <w:sz w:val="20"/>
                <w:szCs w:val="20"/>
              </w:rPr>
              <w:t>7.61</w:t>
            </w:r>
          </w:p>
        </w:tc>
      </w:tr>
    </w:tbl>
    <w:p w:rsidR="004D63D6" w:rsidRPr="007256D7" w:rsidRDefault="004D63D6"/>
    <w:p w:rsidR="007256D7" w:rsidRDefault="007256D7">
      <w:pPr>
        <w:rPr>
          <w:b/>
        </w:rPr>
      </w:pPr>
    </w:p>
    <w:p w:rsidR="004D5B62" w:rsidRPr="00270347" w:rsidRDefault="004D5B62" w:rsidP="00270347">
      <w:pPr>
        <w:rPr>
          <w:b/>
        </w:rPr>
      </w:pPr>
    </w:p>
    <w:p w:rsidR="004D5B62" w:rsidRDefault="004D5B62" w:rsidP="004D5B62">
      <w:pPr>
        <w:pStyle w:val="ListParagraph"/>
        <w:numPr>
          <w:ilvl w:val="0"/>
          <w:numId w:val="3"/>
        </w:numPr>
        <w:jc w:val="both"/>
        <w:rPr>
          <w:b/>
          <w:sz w:val="24"/>
          <w:szCs w:val="24"/>
        </w:rPr>
      </w:pPr>
      <w:r>
        <w:rPr>
          <w:b/>
          <w:sz w:val="24"/>
          <w:szCs w:val="24"/>
        </w:rPr>
        <w:t xml:space="preserve">The </w:t>
      </w:r>
      <w:r w:rsidR="00C32F1A">
        <w:rPr>
          <w:b/>
          <w:sz w:val="24"/>
          <w:szCs w:val="24"/>
        </w:rPr>
        <w:t xml:space="preserve">National Park Management Plan: </w:t>
      </w:r>
      <w:r>
        <w:rPr>
          <w:b/>
          <w:sz w:val="24"/>
          <w:szCs w:val="24"/>
        </w:rPr>
        <w:t>State of the Park Report</w:t>
      </w:r>
    </w:p>
    <w:p w:rsidR="004D5B62" w:rsidRDefault="004D5B62" w:rsidP="004D5B62">
      <w:pPr>
        <w:jc w:val="both"/>
        <w:rPr>
          <w:b/>
          <w:sz w:val="24"/>
          <w:szCs w:val="24"/>
        </w:rPr>
      </w:pPr>
    </w:p>
    <w:p w:rsidR="004D5B62" w:rsidRDefault="00B80CD4" w:rsidP="004D5B62">
      <w:pPr>
        <w:jc w:val="both"/>
        <w:rPr>
          <w:b/>
          <w:sz w:val="24"/>
          <w:szCs w:val="24"/>
        </w:rPr>
      </w:pPr>
      <w:hyperlink r:id="rId10" w:history="1">
        <w:r w:rsidR="00EE4D8C" w:rsidRPr="00C33C77">
          <w:rPr>
            <w:rStyle w:val="Hyperlink"/>
            <w:b/>
            <w:sz w:val="24"/>
            <w:szCs w:val="24"/>
          </w:rPr>
          <w:t>http://www.beacons-npa.gov.uk/the-authority/who-we-are/npmp/state-of-the-park-report-2/</w:t>
        </w:r>
      </w:hyperlink>
    </w:p>
    <w:p w:rsidR="00EE4D8C" w:rsidRPr="004D5B62" w:rsidRDefault="00EE4D8C" w:rsidP="004D5B62">
      <w:pPr>
        <w:jc w:val="both"/>
        <w:rPr>
          <w:b/>
          <w:sz w:val="24"/>
          <w:szCs w:val="24"/>
        </w:rPr>
      </w:pPr>
    </w:p>
    <w:sectPr w:rsidR="00EE4D8C" w:rsidRPr="004D5B62" w:rsidSect="003821B7">
      <w:footerReference w:type="default" r:id="rId11"/>
      <w:pgSz w:w="11906" w:h="16838"/>
      <w:pgMar w:top="1440" w:right="1440" w:bottom="1440"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F8" w:rsidRDefault="00696DF8" w:rsidP="003821B7">
      <w:r>
        <w:separator/>
      </w:r>
    </w:p>
  </w:endnote>
  <w:endnote w:type="continuationSeparator" w:id="0">
    <w:p w:rsidR="00696DF8" w:rsidRDefault="00696DF8" w:rsidP="0038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64738"/>
      <w:docPartObj>
        <w:docPartGallery w:val="Page Numbers (Bottom of Page)"/>
        <w:docPartUnique/>
      </w:docPartObj>
    </w:sdtPr>
    <w:sdtEndPr>
      <w:rPr>
        <w:color w:val="808080" w:themeColor="background1" w:themeShade="80"/>
        <w:spacing w:val="60"/>
      </w:rPr>
    </w:sdtEndPr>
    <w:sdtContent>
      <w:p w:rsidR="00495981" w:rsidRDefault="004959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0CD4" w:rsidRPr="00B80CD4">
          <w:rPr>
            <w:b/>
            <w:bCs/>
            <w:noProof/>
          </w:rPr>
          <w:t>1</w:t>
        </w:r>
        <w:r>
          <w:rPr>
            <w:b/>
            <w:bCs/>
            <w:noProof/>
          </w:rPr>
          <w:fldChar w:fldCharType="end"/>
        </w:r>
        <w:r>
          <w:rPr>
            <w:b/>
            <w:bCs/>
          </w:rPr>
          <w:t xml:space="preserve"> | </w:t>
        </w:r>
        <w:r>
          <w:rPr>
            <w:color w:val="808080" w:themeColor="background1" w:themeShade="80"/>
            <w:spacing w:val="60"/>
          </w:rPr>
          <w:t>Page</w:t>
        </w:r>
      </w:p>
    </w:sdtContent>
  </w:sdt>
  <w:p w:rsidR="00495981" w:rsidRDefault="0049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F8" w:rsidRDefault="00696DF8" w:rsidP="003821B7">
      <w:r>
        <w:separator/>
      </w:r>
    </w:p>
  </w:footnote>
  <w:footnote w:type="continuationSeparator" w:id="0">
    <w:p w:rsidR="00696DF8" w:rsidRDefault="00696DF8" w:rsidP="0038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7C"/>
    <w:multiLevelType w:val="hybridMultilevel"/>
    <w:tmpl w:val="485C4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B98"/>
    <w:multiLevelType w:val="hybridMultilevel"/>
    <w:tmpl w:val="80A6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188D"/>
    <w:multiLevelType w:val="hybridMultilevel"/>
    <w:tmpl w:val="090A337C"/>
    <w:lvl w:ilvl="0" w:tplc="5E56704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92B28"/>
    <w:multiLevelType w:val="hybridMultilevel"/>
    <w:tmpl w:val="3AF8B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426E"/>
    <w:multiLevelType w:val="hybridMultilevel"/>
    <w:tmpl w:val="5646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1AC"/>
    <w:multiLevelType w:val="hybridMultilevel"/>
    <w:tmpl w:val="3E64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91C71"/>
    <w:multiLevelType w:val="hybridMultilevel"/>
    <w:tmpl w:val="A21E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2A1F"/>
    <w:multiLevelType w:val="hybridMultilevel"/>
    <w:tmpl w:val="5BC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0660"/>
    <w:multiLevelType w:val="hybridMultilevel"/>
    <w:tmpl w:val="92BEE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240F4"/>
    <w:multiLevelType w:val="hybridMultilevel"/>
    <w:tmpl w:val="145A0836"/>
    <w:lvl w:ilvl="0" w:tplc="5E56704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D279F"/>
    <w:multiLevelType w:val="hybridMultilevel"/>
    <w:tmpl w:val="800C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071EB"/>
    <w:multiLevelType w:val="hybridMultilevel"/>
    <w:tmpl w:val="3462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7012"/>
    <w:multiLevelType w:val="hybridMultilevel"/>
    <w:tmpl w:val="840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B75"/>
    <w:multiLevelType w:val="hybridMultilevel"/>
    <w:tmpl w:val="385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96E00"/>
    <w:multiLevelType w:val="hybridMultilevel"/>
    <w:tmpl w:val="6614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D5D86"/>
    <w:multiLevelType w:val="hybridMultilevel"/>
    <w:tmpl w:val="69B6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31FD8"/>
    <w:multiLevelType w:val="hybridMultilevel"/>
    <w:tmpl w:val="BB6C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3428F"/>
    <w:multiLevelType w:val="hybridMultilevel"/>
    <w:tmpl w:val="3A7C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02B9D"/>
    <w:multiLevelType w:val="hybridMultilevel"/>
    <w:tmpl w:val="9968D41C"/>
    <w:lvl w:ilvl="0" w:tplc="D84EC6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85F10"/>
    <w:multiLevelType w:val="hybridMultilevel"/>
    <w:tmpl w:val="CAB86C64"/>
    <w:lvl w:ilvl="0" w:tplc="BE22C7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A4EA1"/>
    <w:multiLevelType w:val="hybridMultilevel"/>
    <w:tmpl w:val="67D262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75F920F6"/>
    <w:multiLevelType w:val="hybridMultilevel"/>
    <w:tmpl w:val="7AC8E3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5FB7F23"/>
    <w:multiLevelType w:val="hybridMultilevel"/>
    <w:tmpl w:val="91A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B1D00"/>
    <w:multiLevelType w:val="hybridMultilevel"/>
    <w:tmpl w:val="10108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8D10AE"/>
    <w:multiLevelType w:val="hybridMultilevel"/>
    <w:tmpl w:val="40161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269CA"/>
    <w:multiLevelType w:val="hybridMultilevel"/>
    <w:tmpl w:val="87F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942D0"/>
    <w:multiLevelType w:val="hybridMultilevel"/>
    <w:tmpl w:val="E0E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A090B"/>
    <w:multiLevelType w:val="hybridMultilevel"/>
    <w:tmpl w:val="2FAE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4"/>
  </w:num>
  <w:num w:numId="4">
    <w:abstractNumId w:val="11"/>
  </w:num>
  <w:num w:numId="5">
    <w:abstractNumId w:val="16"/>
  </w:num>
  <w:num w:numId="6">
    <w:abstractNumId w:val="7"/>
  </w:num>
  <w:num w:numId="7">
    <w:abstractNumId w:val="4"/>
  </w:num>
  <w:num w:numId="8">
    <w:abstractNumId w:val="19"/>
  </w:num>
  <w:num w:numId="9">
    <w:abstractNumId w:val="8"/>
  </w:num>
  <w:num w:numId="10">
    <w:abstractNumId w:val="15"/>
  </w:num>
  <w:num w:numId="11">
    <w:abstractNumId w:val="25"/>
  </w:num>
  <w:num w:numId="12">
    <w:abstractNumId w:val="17"/>
  </w:num>
  <w:num w:numId="13">
    <w:abstractNumId w:val="1"/>
  </w:num>
  <w:num w:numId="14">
    <w:abstractNumId w:val="5"/>
  </w:num>
  <w:num w:numId="15">
    <w:abstractNumId w:val="26"/>
  </w:num>
  <w:num w:numId="16">
    <w:abstractNumId w:val="2"/>
  </w:num>
  <w:num w:numId="17">
    <w:abstractNumId w:val="9"/>
  </w:num>
  <w:num w:numId="18">
    <w:abstractNumId w:val="6"/>
  </w:num>
  <w:num w:numId="19">
    <w:abstractNumId w:val="27"/>
  </w:num>
  <w:num w:numId="20">
    <w:abstractNumId w:val="13"/>
  </w:num>
  <w:num w:numId="21">
    <w:abstractNumId w:val="19"/>
  </w:num>
  <w:num w:numId="22">
    <w:abstractNumId w:val="14"/>
  </w:num>
  <w:num w:numId="23">
    <w:abstractNumId w:val="20"/>
  </w:num>
  <w:num w:numId="24">
    <w:abstractNumId w:val="10"/>
  </w:num>
  <w:num w:numId="25">
    <w:abstractNumId w:val="12"/>
  </w:num>
  <w:num w:numId="26">
    <w:abstractNumId w:val="23"/>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84"/>
    <w:rsid w:val="00001184"/>
    <w:rsid w:val="00006EC7"/>
    <w:rsid w:val="00010831"/>
    <w:rsid w:val="00016B53"/>
    <w:rsid w:val="00023481"/>
    <w:rsid w:val="00027012"/>
    <w:rsid w:val="00033D4F"/>
    <w:rsid w:val="000347A0"/>
    <w:rsid w:val="00044F5D"/>
    <w:rsid w:val="000460FA"/>
    <w:rsid w:val="00046C8E"/>
    <w:rsid w:val="00050770"/>
    <w:rsid w:val="00056748"/>
    <w:rsid w:val="00060F14"/>
    <w:rsid w:val="00063B66"/>
    <w:rsid w:val="00067AD3"/>
    <w:rsid w:val="00073E0F"/>
    <w:rsid w:val="0007410D"/>
    <w:rsid w:val="000A0D24"/>
    <w:rsid w:val="000A2EB8"/>
    <w:rsid w:val="000A6440"/>
    <w:rsid w:val="000C70C7"/>
    <w:rsid w:val="000D4890"/>
    <w:rsid w:val="000E2B04"/>
    <w:rsid w:val="000E39D6"/>
    <w:rsid w:val="000F28FE"/>
    <w:rsid w:val="000F595E"/>
    <w:rsid w:val="00110829"/>
    <w:rsid w:val="0011285E"/>
    <w:rsid w:val="00116A25"/>
    <w:rsid w:val="00126973"/>
    <w:rsid w:val="00131CFF"/>
    <w:rsid w:val="001350A3"/>
    <w:rsid w:val="00141F26"/>
    <w:rsid w:val="0014228B"/>
    <w:rsid w:val="0014488A"/>
    <w:rsid w:val="001451A1"/>
    <w:rsid w:val="00150CA1"/>
    <w:rsid w:val="00150F0D"/>
    <w:rsid w:val="0016051B"/>
    <w:rsid w:val="0016310D"/>
    <w:rsid w:val="001756FE"/>
    <w:rsid w:val="00185083"/>
    <w:rsid w:val="0018528D"/>
    <w:rsid w:val="001873C0"/>
    <w:rsid w:val="0019032D"/>
    <w:rsid w:val="001916B4"/>
    <w:rsid w:val="00192933"/>
    <w:rsid w:val="00195031"/>
    <w:rsid w:val="001964EB"/>
    <w:rsid w:val="001A30F4"/>
    <w:rsid w:val="001B08E6"/>
    <w:rsid w:val="001B4017"/>
    <w:rsid w:val="001D5D0F"/>
    <w:rsid w:val="001D724A"/>
    <w:rsid w:val="001F2D85"/>
    <w:rsid w:val="001F4D7D"/>
    <w:rsid w:val="001F6616"/>
    <w:rsid w:val="0020275D"/>
    <w:rsid w:val="002054E4"/>
    <w:rsid w:val="00221080"/>
    <w:rsid w:val="00222617"/>
    <w:rsid w:val="00224305"/>
    <w:rsid w:val="002266B4"/>
    <w:rsid w:val="0023380D"/>
    <w:rsid w:val="002452EC"/>
    <w:rsid w:val="00270347"/>
    <w:rsid w:val="00276A5B"/>
    <w:rsid w:val="00277311"/>
    <w:rsid w:val="0029443A"/>
    <w:rsid w:val="00295BA5"/>
    <w:rsid w:val="002A0D49"/>
    <w:rsid w:val="002B3348"/>
    <w:rsid w:val="002B37C5"/>
    <w:rsid w:val="002C2B9E"/>
    <w:rsid w:val="002D2F1A"/>
    <w:rsid w:val="002D5116"/>
    <w:rsid w:val="002D73AC"/>
    <w:rsid w:val="002E51F8"/>
    <w:rsid w:val="002E574C"/>
    <w:rsid w:val="002E7C5D"/>
    <w:rsid w:val="0030780F"/>
    <w:rsid w:val="00314E96"/>
    <w:rsid w:val="00314ED9"/>
    <w:rsid w:val="0033231E"/>
    <w:rsid w:val="00355335"/>
    <w:rsid w:val="003601A4"/>
    <w:rsid w:val="00362A3A"/>
    <w:rsid w:val="0036336C"/>
    <w:rsid w:val="00366D2A"/>
    <w:rsid w:val="00371A84"/>
    <w:rsid w:val="00374CCF"/>
    <w:rsid w:val="003821B7"/>
    <w:rsid w:val="0038265C"/>
    <w:rsid w:val="00383DCA"/>
    <w:rsid w:val="0038509F"/>
    <w:rsid w:val="00385828"/>
    <w:rsid w:val="003A0CFC"/>
    <w:rsid w:val="003A45C3"/>
    <w:rsid w:val="003B0127"/>
    <w:rsid w:val="003B066D"/>
    <w:rsid w:val="003B0F4B"/>
    <w:rsid w:val="003B6D80"/>
    <w:rsid w:val="003D1FCF"/>
    <w:rsid w:val="003D4665"/>
    <w:rsid w:val="003D67E7"/>
    <w:rsid w:val="003E021B"/>
    <w:rsid w:val="003E223F"/>
    <w:rsid w:val="003E7EDC"/>
    <w:rsid w:val="00401E69"/>
    <w:rsid w:val="004046A6"/>
    <w:rsid w:val="00404978"/>
    <w:rsid w:val="004105B4"/>
    <w:rsid w:val="00414747"/>
    <w:rsid w:val="00425588"/>
    <w:rsid w:val="004328AF"/>
    <w:rsid w:val="0043327C"/>
    <w:rsid w:val="0044637C"/>
    <w:rsid w:val="00447F82"/>
    <w:rsid w:val="0045071A"/>
    <w:rsid w:val="00450AA4"/>
    <w:rsid w:val="00461178"/>
    <w:rsid w:val="0046197A"/>
    <w:rsid w:val="004645BA"/>
    <w:rsid w:val="004668D1"/>
    <w:rsid w:val="00466B93"/>
    <w:rsid w:val="004735F8"/>
    <w:rsid w:val="0047683C"/>
    <w:rsid w:val="00477566"/>
    <w:rsid w:val="00487CA4"/>
    <w:rsid w:val="0049185D"/>
    <w:rsid w:val="00495981"/>
    <w:rsid w:val="00496DF3"/>
    <w:rsid w:val="004A6384"/>
    <w:rsid w:val="004B46B2"/>
    <w:rsid w:val="004D078A"/>
    <w:rsid w:val="004D5B62"/>
    <w:rsid w:val="004D63D6"/>
    <w:rsid w:val="004D7D50"/>
    <w:rsid w:val="004E0186"/>
    <w:rsid w:val="004E4F07"/>
    <w:rsid w:val="004F1BF5"/>
    <w:rsid w:val="004F5B8B"/>
    <w:rsid w:val="00506562"/>
    <w:rsid w:val="0051225C"/>
    <w:rsid w:val="005148A6"/>
    <w:rsid w:val="00520F89"/>
    <w:rsid w:val="00527DFF"/>
    <w:rsid w:val="00534A56"/>
    <w:rsid w:val="005364E4"/>
    <w:rsid w:val="00541241"/>
    <w:rsid w:val="0055001A"/>
    <w:rsid w:val="005519EF"/>
    <w:rsid w:val="00556E63"/>
    <w:rsid w:val="00565147"/>
    <w:rsid w:val="0057027D"/>
    <w:rsid w:val="00580887"/>
    <w:rsid w:val="0058740E"/>
    <w:rsid w:val="00591790"/>
    <w:rsid w:val="00594B78"/>
    <w:rsid w:val="005B498C"/>
    <w:rsid w:val="005D06F9"/>
    <w:rsid w:val="005D0DA1"/>
    <w:rsid w:val="005E1E7C"/>
    <w:rsid w:val="005E347B"/>
    <w:rsid w:val="005F547F"/>
    <w:rsid w:val="00615F4C"/>
    <w:rsid w:val="00617B90"/>
    <w:rsid w:val="00630CC2"/>
    <w:rsid w:val="0063395F"/>
    <w:rsid w:val="0063797B"/>
    <w:rsid w:val="00640609"/>
    <w:rsid w:val="00642494"/>
    <w:rsid w:val="006426EB"/>
    <w:rsid w:val="006427AD"/>
    <w:rsid w:val="00643184"/>
    <w:rsid w:val="006445B5"/>
    <w:rsid w:val="0065308E"/>
    <w:rsid w:val="0065632E"/>
    <w:rsid w:val="00657C73"/>
    <w:rsid w:val="006640A7"/>
    <w:rsid w:val="006751C8"/>
    <w:rsid w:val="00692926"/>
    <w:rsid w:val="00696DF8"/>
    <w:rsid w:val="006A1DE1"/>
    <w:rsid w:val="006B061D"/>
    <w:rsid w:val="006B31F4"/>
    <w:rsid w:val="006B4EB4"/>
    <w:rsid w:val="006B64AA"/>
    <w:rsid w:val="006B6DB4"/>
    <w:rsid w:val="006D07B4"/>
    <w:rsid w:val="006D1117"/>
    <w:rsid w:val="006D412C"/>
    <w:rsid w:val="006D54F8"/>
    <w:rsid w:val="006D553B"/>
    <w:rsid w:val="006E5346"/>
    <w:rsid w:val="006E79A7"/>
    <w:rsid w:val="00702429"/>
    <w:rsid w:val="00706956"/>
    <w:rsid w:val="00713B4F"/>
    <w:rsid w:val="007172CB"/>
    <w:rsid w:val="00717D83"/>
    <w:rsid w:val="007255E1"/>
    <w:rsid w:val="007256D7"/>
    <w:rsid w:val="007267EA"/>
    <w:rsid w:val="00734A3C"/>
    <w:rsid w:val="00740AA4"/>
    <w:rsid w:val="007426A0"/>
    <w:rsid w:val="00743B21"/>
    <w:rsid w:val="007467EF"/>
    <w:rsid w:val="00751CDB"/>
    <w:rsid w:val="007525B5"/>
    <w:rsid w:val="00753E24"/>
    <w:rsid w:val="00756639"/>
    <w:rsid w:val="00757933"/>
    <w:rsid w:val="007664EF"/>
    <w:rsid w:val="007724DC"/>
    <w:rsid w:val="00773018"/>
    <w:rsid w:val="0078029D"/>
    <w:rsid w:val="0078715C"/>
    <w:rsid w:val="00787588"/>
    <w:rsid w:val="007878F7"/>
    <w:rsid w:val="007937B2"/>
    <w:rsid w:val="00797555"/>
    <w:rsid w:val="007A19AB"/>
    <w:rsid w:val="007C208A"/>
    <w:rsid w:val="007D2CB9"/>
    <w:rsid w:val="007D653B"/>
    <w:rsid w:val="007D7308"/>
    <w:rsid w:val="007D7C3A"/>
    <w:rsid w:val="007E1A01"/>
    <w:rsid w:val="007E3819"/>
    <w:rsid w:val="007F14C5"/>
    <w:rsid w:val="007F1814"/>
    <w:rsid w:val="007F54C5"/>
    <w:rsid w:val="0080001C"/>
    <w:rsid w:val="008042B7"/>
    <w:rsid w:val="00810808"/>
    <w:rsid w:val="008141E1"/>
    <w:rsid w:val="00817BBA"/>
    <w:rsid w:val="008230F3"/>
    <w:rsid w:val="00824DE6"/>
    <w:rsid w:val="00825F54"/>
    <w:rsid w:val="00836157"/>
    <w:rsid w:val="00836BA2"/>
    <w:rsid w:val="008446ED"/>
    <w:rsid w:val="0084730A"/>
    <w:rsid w:val="0085294B"/>
    <w:rsid w:val="00855D5C"/>
    <w:rsid w:val="0086587D"/>
    <w:rsid w:val="00883B04"/>
    <w:rsid w:val="00890D2E"/>
    <w:rsid w:val="00895516"/>
    <w:rsid w:val="008B28F1"/>
    <w:rsid w:val="008C4DCF"/>
    <w:rsid w:val="008D4B9B"/>
    <w:rsid w:val="008E2C3D"/>
    <w:rsid w:val="008E4DD7"/>
    <w:rsid w:val="008E6218"/>
    <w:rsid w:val="008F2876"/>
    <w:rsid w:val="008F341D"/>
    <w:rsid w:val="008F4D94"/>
    <w:rsid w:val="00903417"/>
    <w:rsid w:val="00904EAA"/>
    <w:rsid w:val="009056AA"/>
    <w:rsid w:val="00923B06"/>
    <w:rsid w:val="009245CE"/>
    <w:rsid w:val="009413F9"/>
    <w:rsid w:val="00941DF9"/>
    <w:rsid w:val="009442FD"/>
    <w:rsid w:val="00945F0E"/>
    <w:rsid w:val="0095071A"/>
    <w:rsid w:val="00955FAF"/>
    <w:rsid w:val="00972C95"/>
    <w:rsid w:val="00975188"/>
    <w:rsid w:val="009774D1"/>
    <w:rsid w:val="009819AC"/>
    <w:rsid w:val="00984543"/>
    <w:rsid w:val="009A4B02"/>
    <w:rsid w:val="009A575A"/>
    <w:rsid w:val="009B5914"/>
    <w:rsid w:val="009C2BCD"/>
    <w:rsid w:val="009C3339"/>
    <w:rsid w:val="009C3C03"/>
    <w:rsid w:val="009C4A4F"/>
    <w:rsid w:val="009D2C02"/>
    <w:rsid w:val="009D75FB"/>
    <w:rsid w:val="009E1C8D"/>
    <w:rsid w:val="009E2110"/>
    <w:rsid w:val="00A007DD"/>
    <w:rsid w:val="00A02EFC"/>
    <w:rsid w:val="00A04FDF"/>
    <w:rsid w:val="00A05F4F"/>
    <w:rsid w:val="00A129D1"/>
    <w:rsid w:val="00A12D21"/>
    <w:rsid w:val="00A2697B"/>
    <w:rsid w:val="00A27348"/>
    <w:rsid w:val="00A34177"/>
    <w:rsid w:val="00A34D80"/>
    <w:rsid w:val="00A3662F"/>
    <w:rsid w:val="00A42D22"/>
    <w:rsid w:val="00A4383E"/>
    <w:rsid w:val="00A45248"/>
    <w:rsid w:val="00A47AE9"/>
    <w:rsid w:val="00A57DAC"/>
    <w:rsid w:val="00A64454"/>
    <w:rsid w:val="00A65844"/>
    <w:rsid w:val="00A67364"/>
    <w:rsid w:val="00A70CA9"/>
    <w:rsid w:val="00A75F30"/>
    <w:rsid w:val="00A77EBF"/>
    <w:rsid w:val="00A829AF"/>
    <w:rsid w:val="00A91291"/>
    <w:rsid w:val="00A97E31"/>
    <w:rsid w:val="00AA2E8C"/>
    <w:rsid w:val="00AB1478"/>
    <w:rsid w:val="00AB2B3F"/>
    <w:rsid w:val="00AB525A"/>
    <w:rsid w:val="00AB56C0"/>
    <w:rsid w:val="00AB69F3"/>
    <w:rsid w:val="00AC1747"/>
    <w:rsid w:val="00AC223A"/>
    <w:rsid w:val="00AC4D02"/>
    <w:rsid w:val="00AC6D01"/>
    <w:rsid w:val="00AD2714"/>
    <w:rsid w:val="00AD385B"/>
    <w:rsid w:val="00AD5DA9"/>
    <w:rsid w:val="00AE032A"/>
    <w:rsid w:val="00AE0BA1"/>
    <w:rsid w:val="00AE1734"/>
    <w:rsid w:val="00AE23A0"/>
    <w:rsid w:val="00AE492C"/>
    <w:rsid w:val="00AF4EE7"/>
    <w:rsid w:val="00AF5518"/>
    <w:rsid w:val="00B05DEE"/>
    <w:rsid w:val="00B06DE2"/>
    <w:rsid w:val="00B1342E"/>
    <w:rsid w:val="00B13BDD"/>
    <w:rsid w:val="00B24387"/>
    <w:rsid w:val="00B2479A"/>
    <w:rsid w:val="00B41A35"/>
    <w:rsid w:val="00B504AA"/>
    <w:rsid w:val="00B621E5"/>
    <w:rsid w:val="00B73BDB"/>
    <w:rsid w:val="00B76E77"/>
    <w:rsid w:val="00B80CD4"/>
    <w:rsid w:val="00B91410"/>
    <w:rsid w:val="00B93D25"/>
    <w:rsid w:val="00BA1CDB"/>
    <w:rsid w:val="00BA497C"/>
    <w:rsid w:val="00BA6B10"/>
    <w:rsid w:val="00BB4051"/>
    <w:rsid w:val="00BB6469"/>
    <w:rsid w:val="00BC5627"/>
    <w:rsid w:val="00BD6CD2"/>
    <w:rsid w:val="00BE56D6"/>
    <w:rsid w:val="00BE6083"/>
    <w:rsid w:val="00BE740A"/>
    <w:rsid w:val="00BF4C0A"/>
    <w:rsid w:val="00BF67CA"/>
    <w:rsid w:val="00BF7F0D"/>
    <w:rsid w:val="00C007DA"/>
    <w:rsid w:val="00C07EB8"/>
    <w:rsid w:val="00C11147"/>
    <w:rsid w:val="00C11DDE"/>
    <w:rsid w:val="00C269E3"/>
    <w:rsid w:val="00C27753"/>
    <w:rsid w:val="00C30CDB"/>
    <w:rsid w:val="00C3207F"/>
    <w:rsid w:val="00C32F1A"/>
    <w:rsid w:val="00C35F3E"/>
    <w:rsid w:val="00C40BD6"/>
    <w:rsid w:val="00C40DF5"/>
    <w:rsid w:val="00C5685B"/>
    <w:rsid w:val="00C64563"/>
    <w:rsid w:val="00C76667"/>
    <w:rsid w:val="00C80B94"/>
    <w:rsid w:val="00C96224"/>
    <w:rsid w:val="00CA0ACD"/>
    <w:rsid w:val="00CB0935"/>
    <w:rsid w:val="00CC05BD"/>
    <w:rsid w:val="00CD60D1"/>
    <w:rsid w:val="00CE07EE"/>
    <w:rsid w:val="00CE23FE"/>
    <w:rsid w:val="00CE2E0B"/>
    <w:rsid w:val="00CE6E28"/>
    <w:rsid w:val="00CF136E"/>
    <w:rsid w:val="00CF7EFD"/>
    <w:rsid w:val="00D006CF"/>
    <w:rsid w:val="00D03EE4"/>
    <w:rsid w:val="00D12386"/>
    <w:rsid w:val="00D13A6A"/>
    <w:rsid w:val="00D224DB"/>
    <w:rsid w:val="00D23D8C"/>
    <w:rsid w:val="00D369F9"/>
    <w:rsid w:val="00D3776A"/>
    <w:rsid w:val="00D45D6C"/>
    <w:rsid w:val="00D46564"/>
    <w:rsid w:val="00D47220"/>
    <w:rsid w:val="00D5205F"/>
    <w:rsid w:val="00D6288B"/>
    <w:rsid w:val="00D713E5"/>
    <w:rsid w:val="00D75D47"/>
    <w:rsid w:val="00D773B0"/>
    <w:rsid w:val="00D96DEE"/>
    <w:rsid w:val="00DA3515"/>
    <w:rsid w:val="00DC3150"/>
    <w:rsid w:val="00DD194F"/>
    <w:rsid w:val="00DD523C"/>
    <w:rsid w:val="00DD55F4"/>
    <w:rsid w:val="00DD6559"/>
    <w:rsid w:val="00DE0C05"/>
    <w:rsid w:val="00DF1485"/>
    <w:rsid w:val="00E20A5D"/>
    <w:rsid w:val="00E213A6"/>
    <w:rsid w:val="00E306D3"/>
    <w:rsid w:val="00E34607"/>
    <w:rsid w:val="00E35E2F"/>
    <w:rsid w:val="00E55399"/>
    <w:rsid w:val="00E6031A"/>
    <w:rsid w:val="00E61EBC"/>
    <w:rsid w:val="00E86577"/>
    <w:rsid w:val="00E879B7"/>
    <w:rsid w:val="00E947E8"/>
    <w:rsid w:val="00EA065B"/>
    <w:rsid w:val="00EA5843"/>
    <w:rsid w:val="00EA791E"/>
    <w:rsid w:val="00EA7F98"/>
    <w:rsid w:val="00EB13E8"/>
    <w:rsid w:val="00EB75C8"/>
    <w:rsid w:val="00EC084D"/>
    <w:rsid w:val="00ED2892"/>
    <w:rsid w:val="00ED5D2F"/>
    <w:rsid w:val="00ED74E7"/>
    <w:rsid w:val="00EE0B28"/>
    <w:rsid w:val="00EE4D8C"/>
    <w:rsid w:val="00EF418F"/>
    <w:rsid w:val="00F009E7"/>
    <w:rsid w:val="00F020F8"/>
    <w:rsid w:val="00F047DC"/>
    <w:rsid w:val="00F1243A"/>
    <w:rsid w:val="00F131A3"/>
    <w:rsid w:val="00F260F9"/>
    <w:rsid w:val="00F27C9C"/>
    <w:rsid w:val="00F355B4"/>
    <w:rsid w:val="00F4092A"/>
    <w:rsid w:val="00F45769"/>
    <w:rsid w:val="00F57C93"/>
    <w:rsid w:val="00F65E5F"/>
    <w:rsid w:val="00F84EB1"/>
    <w:rsid w:val="00F96E59"/>
    <w:rsid w:val="00FA1BAD"/>
    <w:rsid w:val="00FA2CE8"/>
    <w:rsid w:val="00FA5E96"/>
    <w:rsid w:val="00FA730F"/>
    <w:rsid w:val="00FB2B3B"/>
    <w:rsid w:val="00FB5019"/>
    <w:rsid w:val="00FB7C55"/>
    <w:rsid w:val="00FC34AB"/>
    <w:rsid w:val="00FC4B43"/>
    <w:rsid w:val="00FD0AD4"/>
    <w:rsid w:val="00FD196A"/>
    <w:rsid w:val="00FD4E77"/>
    <w:rsid w:val="00FD516C"/>
    <w:rsid w:val="00FE02C8"/>
    <w:rsid w:val="00FE1884"/>
    <w:rsid w:val="00FE2CBF"/>
    <w:rsid w:val="00FE402A"/>
    <w:rsid w:val="00FE4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3A8989-FD7C-4E41-A60B-1BDDA9F0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D1"/>
    <w:pPr>
      <w:ind w:left="720"/>
      <w:contextualSpacing/>
    </w:pPr>
  </w:style>
  <w:style w:type="table" w:styleId="TableGrid">
    <w:name w:val="Table Grid"/>
    <w:basedOn w:val="TableNormal"/>
    <w:uiPriority w:val="59"/>
    <w:rsid w:val="0055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6CF"/>
    <w:rPr>
      <w:color w:val="0000FF" w:themeColor="hyperlink"/>
      <w:u w:val="single"/>
    </w:rPr>
  </w:style>
  <w:style w:type="paragraph" w:styleId="BalloonText">
    <w:name w:val="Balloon Text"/>
    <w:basedOn w:val="Normal"/>
    <w:link w:val="BalloonTextChar"/>
    <w:uiPriority w:val="99"/>
    <w:semiHidden/>
    <w:unhideWhenUsed/>
    <w:rsid w:val="0065308E"/>
    <w:rPr>
      <w:rFonts w:ascii="Tahoma" w:hAnsi="Tahoma" w:cs="Tahoma"/>
      <w:sz w:val="16"/>
      <w:szCs w:val="16"/>
    </w:rPr>
  </w:style>
  <w:style w:type="character" w:customStyle="1" w:styleId="BalloonTextChar">
    <w:name w:val="Balloon Text Char"/>
    <w:basedOn w:val="DefaultParagraphFont"/>
    <w:link w:val="BalloonText"/>
    <w:uiPriority w:val="99"/>
    <w:semiHidden/>
    <w:rsid w:val="0065308E"/>
    <w:rPr>
      <w:rFonts w:ascii="Tahoma" w:hAnsi="Tahoma" w:cs="Tahoma"/>
      <w:sz w:val="16"/>
      <w:szCs w:val="16"/>
    </w:rPr>
  </w:style>
  <w:style w:type="character" w:styleId="CommentReference">
    <w:name w:val="annotation reference"/>
    <w:basedOn w:val="DefaultParagraphFont"/>
    <w:uiPriority w:val="99"/>
    <w:semiHidden/>
    <w:unhideWhenUsed/>
    <w:rsid w:val="00DD523C"/>
    <w:rPr>
      <w:sz w:val="16"/>
      <w:szCs w:val="16"/>
    </w:rPr>
  </w:style>
  <w:style w:type="paragraph" w:styleId="CommentText">
    <w:name w:val="annotation text"/>
    <w:basedOn w:val="Normal"/>
    <w:link w:val="CommentTextChar"/>
    <w:uiPriority w:val="99"/>
    <w:semiHidden/>
    <w:unhideWhenUsed/>
    <w:rsid w:val="00DD523C"/>
    <w:rPr>
      <w:sz w:val="20"/>
      <w:szCs w:val="20"/>
    </w:rPr>
  </w:style>
  <w:style w:type="character" w:customStyle="1" w:styleId="CommentTextChar">
    <w:name w:val="Comment Text Char"/>
    <w:basedOn w:val="DefaultParagraphFont"/>
    <w:link w:val="CommentText"/>
    <w:uiPriority w:val="99"/>
    <w:semiHidden/>
    <w:rsid w:val="00DD523C"/>
    <w:rPr>
      <w:sz w:val="20"/>
      <w:szCs w:val="20"/>
    </w:rPr>
  </w:style>
  <w:style w:type="paragraph" w:styleId="CommentSubject">
    <w:name w:val="annotation subject"/>
    <w:basedOn w:val="CommentText"/>
    <w:next w:val="CommentText"/>
    <w:link w:val="CommentSubjectChar"/>
    <w:uiPriority w:val="99"/>
    <w:semiHidden/>
    <w:unhideWhenUsed/>
    <w:rsid w:val="00DD523C"/>
    <w:rPr>
      <w:b/>
      <w:bCs/>
    </w:rPr>
  </w:style>
  <w:style w:type="character" w:customStyle="1" w:styleId="CommentSubjectChar">
    <w:name w:val="Comment Subject Char"/>
    <w:basedOn w:val="CommentTextChar"/>
    <w:link w:val="CommentSubject"/>
    <w:uiPriority w:val="99"/>
    <w:semiHidden/>
    <w:rsid w:val="00DD523C"/>
    <w:rPr>
      <w:b/>
      <w:bCs/>
      <w:sz w:val="20"/>
      <w:szCs w:val="20"/>
    </w:rPr>
  </w:style>
  <w:style w:type="paragraph" w:styleId="Header">
    <w:name w:val="header"/>
    <w:basedOn w:val="Normal"/>
    <w:link w:val="HeaderChar"/>
    <w:uiPriority w:val="99"/>
    <w:unhideWhenUsed/>
    <w:rsid w:val="003821B7"/>
    <w:pPr>
      <w:tabs>
        <w:tab w:val="center" w:pos="4513"/>
        <w:tab w:val="right" w:pos="9026"/>
      </w:tabs>
    </w:pPr>
  </w:style>
  <w:style w:type="character" w:customStyle="1" w:styleId="HeaderChar">
    <w:name w:val="Header Char"/>
    <w:basedOn w:val="DefaultParagraphFont"/>
    <w:link w:val="Header"/>
    <w:uiPriority w:val="99"/>
    <w:rsid w:val="003821B7"/>
  </w:style>
  <w:style w:type="paragraph" w:styleId="Footer">
    <w:name w:val="footer"/>
    <w:basedOn w:val="Normal"/>
    <w:link w:val="FooterChar"/>
    <w:uiPriority w:val="99"/>
    <w:unhideWhenUsed/>
    <w:rsid w:val="003821B7"/>
    <w:pPr>
      <w:tabs>
        <w:tab w:val="center" w:pos="4513"/>
        <w:tab w:val="right" w:pos="9026"/>
      </w:tabs>
    </w:pPr>
  </w:style>
  <w:style w:type="character" w:customStyle="1" w:styleId="FooterChar">
    <w:name w:val="Footer Char"/>
    <w:basedOn w:val="DefaultParagraphFont"/>
    <w:link w:val="Footer"/>
    <w:uiPriority w:val="99"/>
    <w:rsid w:val="003821B7"/>
  </w:style>
  <w:style w:type="character" w:styleId="FollowedHyperlink">
    <w:name w:val="FollowedHyperlink"/>
    <w:basedOn w:val="DefaultParagraphFont"/>
    <w:uiPriority w:val="99"/>
    <w:semiHidden/>
    <w:unhideWhenUsed/>
    <w:rsid w:val="00AA2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029">
      <w:bodyDiv w:val="1"/>
      <w:marLeft w:val="0"/>
      <w:marRight w:val="0"/>
      <w:marTop w:val="0"/>
      <w:marBottom w:val="0"/>
      <w:divBdr>
        <w:top w:val="none" w:sz="0" w:space="0" w:color="auto"/>
        <w:left w:val="none" w:sz="0" w:space="0" w:color="auto"/>
        <w:bottom w:val="none" w:sz="0" w:space="0" w:color="auto"/>
        <w:right w:val="none" w:sz="0" w:space="0" w:color="auto"/>
      </w:divBdr>
    </w:div>
    <w:div w:id="47339669">
      <w:bodyDiv w:val="1"/>
      <w:marLeft w:val="0"/>
      <w:marRight w:val="0"/>
      <w:marTop w:val="0"/>
      <w:marBottom w:val="0"/>
      <w:divBdr>
        <w:top w:val="none" w:sz="0" w:space="0" w:color="auto"/>
        <w:left w:val="none" w:sz="0" w:space="0" w:color="auto"/>
        <w:bottom w:val="none" w:sz="0" w:space="0" w:color="auto"/>
        <w:right w:val="none" w:sz="0" w:space="0" w:color="auto"/>
      </w:divBdr>
    </w:div>
    <w:div w:id="138815447">
      <w:bodyDiv w:val="1"/>
      <w:marLeft w:val="0"/>
      <w:marRight w:val="0"/>
      <w:marTop w:val="0"/>
      <w:marBottom w:val="0"/>
      <w:divBdr>
        <w:top w:val="none" w:sz="0" w:space="0" w:color="auto"/>
        <w:left w:val="none" w:sz="0" w:space="0" w:color="auto"/>
        <w:bottom w:val="none" w:sz="0" w:space="0" w:color="auto"/>
        <w:right w:val="none" w:sz="0" w:space="0" w:color="auto"/>
      </w:divBdr>
    </w:div>
    <w:div w:id="185992249">
      <w:bodyDiv w:val="1"/>
      <w:marLeft w:val="0"/>
      <w:marRight w:val="0"/>
      <w:marTop w:val="0"/>
      <w:marBottom w:val="0"/>
      <w:divBdr>
        <w:top w:val="none" w:sz="0" w:space="0" w:color="auto"/>
        <w:left w:val="none" w:sz="0" w:space="0" w:color="auto"/>
        <w:bottom w:val="none" w:sz="0" w:space="0" w:color="auto"/>
        <w:right w:val="none" w:sz="0" w:space="0" w:color="auto"/>
      </w:divBdr>
    </w:div>
    <w:div w:id="314838777">
      <w:bodyDiv w:val="1"/>
      <w:marLeft w:val="0"/>
      <w:marRight w:val="0"/>
      <w:marTop w:val="0"/>
      <w:marBottom w:val="0"/>
      <w:divBdr>
        <w:top w:val="none" w:sz="0" w:space="0" w:color="auto"/>
        <w:left w:val="none" w:sz="0" w:space="0" w:color="auto"/>
        <w:bottom w:val="none" w:sz="0" w:space="0" w:color="auto"/>
        <w:right w:val="none" w:sz="0" w:space="0" w:color="auto"/>
      </w:divBdr>
    </w:div>
    <w:div w:id="319122654">
      <w:bodyDiv w:val="1"/>
      <w:marLeft w:val="0"/>
      <w:marRight w:val="0"/>
      <w:marTop w:val="0"/>
      <w:marBottom w:val="0"/>
      <w:divBdr>
        <w:top w:val="none" w:sz="0" w:space="0" w:color="auto"/>
        <w:left w:val="none" w:sz="0" w:space="0" w:color="auto"/>
        <w:bottom w:val="none" w:sz="0" w:space="0" w:color="auto"/>
        <w:right w:val="none" w:sz="0" w:space="0" w:color="auto"/>
      </w:divBdr>
    </w:div>
    <w:div w:id="366106364">
      <w:bodyDiv w:val="1"/>
      <w:marLeft w:val="0"/>
      <w:marRight w:val="0"/>
      <w:marTop w:val="0"/>
      <w:marBottom w:val="0"/>
      <w:divBdr>
        <w:top w:val="none" w:sz="0" w:space="0" w:color="auto"/>
        <w:left w:val="none" w:sz="0" w:space="0" w:color="auto"/>
        <w:bottom w:val="none" w:sz="0" w:space="0" w:color="auto"/>
        <w:right w:val="none" w:sz="0" w:space="0" w:color="auto"/>
      </w:divBdr>
    </w:div>
    <w:div w:id="369384996">
      <w:bodyDiv w:val="1"/>
      <w:marLeft w:val="0"/>
      <w:marRight w:val="0"/>
      <w:marTop w:val="0"/>
      <w:marBottom w:val="0"/>
      <w:divBdr>
        <w:top w:val="none" w:sz="0" w:space="0" w:color="auto"/>
        <w:left w:val="none" w:sz="0" w:space="0" w:color="auto"/>
        <w:bottom w:val="none" w:sz="0" w:space="0" w:color="auto"/>
        <w:right w:val="none" w:sz="0" w:space="0" w:color="auto"/>
      </w:divBdr>
    </w:div>
    <w:div w:id="390275046">
      <w:bodyDiv w:val="1"/>
      <w:marLeft w:val="0"/>
      <w:marRight w:val="0"/>
      <w:marTop w:val="0"/>
      <w:marBottom w:val="0"/>
      <w:divBdr>
        <w:top w:val="none" w:sz="0" w:space="0" w:color="auto"/>
        <w:left w:val="none" w:sz="0" w:space="0" w:color="auto"/>
        <w:bottom w:val="none" w:sz="0" w:space="0" w:color="auto"/>
        <w:right w:val="none" w:sz="0" w:space="0" w:color="auto"/>
      </w:divBdr>
    </w:div>
    <w:div w:id="411004138">
      <w:bodyDiv w:val="1"/>
      <w:marLeft w:val="0"/>
      <w:marRight w:val="0"/>
      <w:marTop w:val="0"/>
      <w:marBottom w:val="0"/>
      <w:divBdr>
        <w:top w:val="none" w:sz="0" w:space="0" w:color="auto"/>
        <w:left w:val="none" w:sz="0" w:space="0" w:color="auto"/>
        <w:bottom w:val="none" w:sz="0" w:space="0" w:color="auto"/>
        <w:right w:val="none" w:sz="0" w:space="0" w:color="auto"/>
      </w:divBdr>
    </w:div>
    <w:div w:id="433329390">
      <w:bodyDiv w:val="1"/>
      <w:marLeft w:val="0"/>
      <w:marRight w:val="0"/>
      <w:marTop w:val="0"/>
      <w:marBottom w:val="0"/>
      <w:divBdr>
        <w:top w:val="none" w:sz="0" w:space="0" w:color="auto"/>
        <w:left w:val="none" w:sz="0" w:space="0" w:color="auto"/>
        <w:bottom w:val="none" w:sz="0" w:space="0" w:color="auto"/>
        <w:right w:val="none" w:sz="0" w:space="0" w:color="auto"/>
      </w:divBdr>
    </w:div>
    <w:div w:id="484051251">
      <w:bodyDiv w:val="1"/>
      <w:marLeft w:val="0"/>
      <w:marRight w:val="0"/>
      <w:marTop w:val="0"/>
      <w:marBottom w:val="0"/>
      <w:divBdr>
        <w:top w:val="none" w:sz="0" w:space="0" w:color="auto"/>
        <w:left w:val="none" w:sz="0" w:space="0" w:color="auto"/>
        <w:bottom w:val="none" w:sz="0" w:space="0" w:color="auto"/>
        <w:right w:val="none" w:sz="0" w:space="0" w:color="auto"/>
      </w:divBdr>
    </w:div>
    <w:div w:id="575286147">
      <w:bodyDiv w:val="1"/>
      <w:marLeft w:val="0"/>
      <w:marRight w:val="0"/>
      <w:marTop w:val="0"/>
      <w:marBottom w:val="0"/>
      <w:divBdr>
        <w:top w:val="none" w:sz="0" w:space="0" w:color="auto"/>
        <w:left w:val="none" w:sz="0" w:space="0" w:color="auto"/>
        <w:bottom w:val="none" w:sz="0" w:space="0" w:color="auto"/>
        <w:right w:val="none" w:sz="0" w:space="0" w:color="auto"/>
      </w:divBdr>
    </w:div>
    <w:div w:id="643268196">
      <w:bodyDiv w:val="1"/>
      <w:marLeft w:val="0"/>
      <w:marRight w:val="0"/>
      <w:marTop w:val="0"/>
      <w:marBottom w:val="0"/>
      <w:divBdr>
        <w:top w:val="none" w:sz="0" w:space="0" w:color="auto"/>
        <w:left w:val="none" w:sz="0" w:space="0" w:color="auto"/>
        <w:bottom w:val="none" w:sz="0" w:space="0" w:color="auto"/>
        <w:right w:val="none" w:sz="0" w:space="0" w:color="auto"/>
      </w:divBdr>
    </w:div>
    <w:div w:id="672680247">
      <w:bodyDiv w:val="1"/>
      <w:marLeft w:val="0"/>
      <w:marRight w:val="0"/>
      <w:marTop w:val="0"/>
      <w:marBottom w:val="0"/>
      <w:divBdr>
        <w:top w:val="none" w:sz="0" w:space="0" w:color="auto"/>
        <w:left w:val="none" w:sz="0" w:space="0" w:color="auto"/>
        <w:bottom w:val="none" w:sz="0" w:space="0" w:color="auto"/>
        <w:right w:val="none" w:sz="0" w:space="0" w:color="auto"/>
      </w:divBdr>
    </w:div>
    <w:div w:id="673191016">
      <w:bodyDiv w:val="1"/>
      <w:marLeft w:val="0"/>
      <w:marRight w:val="0"/>
      <w:marTop w:val="0"/>
      <w:marBottom w:val="0"/>
      <w:divBdr>
        <w:top w:val="none" w:sz="0" w:space="0" w:color="auto"/>
        <w:left w:val="none" w:sz="0" w:space="0" w:color="auto"/>
        <w:bottom w:val="none" w:sz="0" w:space="0" w:color="auto"/>
        <w:right w:val="none" w:sz="0" w:space="0" w:color="auto"/>
      </w:divBdr>
    </w:div>
    <w:div w:id="732891431">
      <w:bodyDiv w:val="1"/>
      <w:marLeft w:val="0"/>
      <w:marRight w:val="0"/>
      <w:marTop w:val="0"/>
      <w:marBottom w:val="0"/>
      <w:divBdr>
        <w:top w:val="none" w:sz="0" w:space="0" w:color="auto"/>
        <w:left w:val="none" w:sz="0" w:space="0" w:color="auto"/>
        <w:bottom w:val="none" w:sz="0" w:space="0" w:color="auto"/>
        <w:right w:val="none" w:sz="0" w:space="0" w:color="auto"/>
      </w:divBdr>
    </w:div>
    <w:div w:id="874348441">
      <w:bodyDiv w:val="1"/>
      <w:marLeft w:val="0"/>
      <w:marRight w:val="0"/>
      <w:marTop w:val="0"/>
      <w:marBottom w:val="0"/>
      <w:divBdr>
        <w:top w:val="none" w:sz="0" w:space="0" w:color="auto"/>
        <w:left w:val="none" w:sz="0" w:space="0" w:color="auto"/>
        <w:bottom w:val="none" w:sz="0" w:space="0" w:color="auto"/>
        <w:right w:val="none" w:sz="0" w:space="0" w:color="auto"/>
      </w:divBdr>
    </w:div>
    <w:div w:id="939028444">
      <w:bodyDiv w:val="1"/>
      <w:marLeft w:val="0"/>
      <w:marRight w:val="0"/>
      <w:marTop w:val="0"/>
      <w:marBottom w:val="0"/>
      <w:divBdr>
        <w:top w:val="none" w:sz="0" w:space="0" w:color="auto"/>
        <w:left w:val="none" w:sz="0" w:space="0" w:color="auto"/>
        <w:bottom w:val="none" w:sz="0" w:space="0" w:color="auto"/>
        <w:right w:val="none" w:sz="0" w:space="0" w:color="auto"/>
      </w:divBdr>
    </w:div>
    <w:div w:id="962005954">
      <w:bodyDiv w:val="1"/>
      <w:marLeft w:val="0"/>
      <w:marRight w:val="0"/>
      <w:marTop w:val="0"/>
      <w:marBottom w:val="0"/>
      <w:divBdr>
        <w:top w:val="none" w:sz="0" w:space="0" w:color="auto"/>
        <w:left w:val="none" w:sz="0" w:space="0" w:color="auto"/>
        <w:bottom w:val="none" w:sz="0" w:space="0" w:color="auto"/>
        <w:right w:val="none" w:sz="0" w:space="0" w:color="auto"/>
      </w:divBdr>
    </w:div>
    <w:div w:id="963854189">
      <w:bodyDiv w:val="1"/>
      <w:marLeft w:val="0"/>
      <w:marRight w:val="0"/>
      <w:marTop w:val="0"/>
      <w:marBottom w:val="0"/>
      <w:divBdr>
        <w:top w:val="none" w:sz="0" w:space="0" w:color="auto"/>
        <w:left w:val="none" w:sz="0" w:space="0" w:color="auto"/>
        <w:bottom w:val="none" w:sz="0" w:space="0" w:color="auto"/>
        <w:right w:val="none" w:sz="0" w:space="0" w:color="auto"/>
      </w:divBdr>
    </w:div>
    <w:div w:id="968323255">
      <w:bodyDiv w:val="1"/>
      <w:marLeft w:val="0"/>
      <w:marRight w:val="0"/>
      <w:marTop w:val="0"/>
      <w:marBottom w:val="0"/>
      <w:divBdr>
        <w:top w:val="none" w:sz="0" w:space="0" w:color="auto"/>
        <w:left w:val="none" w:sz="0" w:space="0" w:color="auto"/>
        <w:bottom w:val="none" w:sz="0" w:space="0" w:color="auto"/>
        <w:right w:val="none" w:sz="0" w:space="0" w:color="auto"/>
      </w:divBdr>
    </w:div>
    <w:div w:id="994069600">
      <w:bodyDiv w:val="1"/>
      <w:marLeft w:val="0"/>
      <w:marRight w:val="0"/>
      <w:marTop w:val="0"/>
      <w:marBottom w:val="0"/>
      <w:divBdr>
        <w:top w:val="none" w:sz="0" w:space="0" w:color="auto"/>
        <w:left w:val="none" w:sz="0" w:space="0" w:color="auto"/>
        <w:bottom w:val="none" w:sz="0" w:space="0" w:color="auto"/>
        <w:right w:val="none" w:sz="0" w:space="0" w:color="auto"/>
      </w:divBdr>
    </w:div>
    <w:div w:id="999230330">
      <w:bodyDiv w:val="1"/>
      <w:marLeft w:val="0"/>
      <w:marRight w:val="0"/>
      <w:marTop w:val="0"/>
      <w:marBottom w:val="0"/>
      <w:divBdr>
        <w:top w:val="none" w:sz="0" w:space="0" w:color="auto"/>
        <w:left w:val="none" w:sz="0" w:space="0" w:color="auto"/>
        <w:bottom w:val="none" w:sz="0" w:space="0" w:color="auto"/>
        <w:right w:val="none" w:sz="0" w:space="0" w:color="auto"/>
      </w:divBdr>
    </w:div>
    <w:div w:id="1010259350">
      <w:bodyDiv w:val="1"/>
      <w:marLeft w:val="0"/>
      <w:marRight w:val="0"/>
      <w:marTop w:val="0"/>
      <w:marBottom w:val="0"/>
      <w:divBdr>
        <w:top w:val="none" w:sz="0" w:space="0" w:color="auto"/>
        <w:left w:val="none" w:sz="0" w:space="0" w:color="auto"/>
        <w:bottom w:val="none" w:sz="0" w:space="0" w:color="auto"/>
        <w:right w:val="none" w:sz="0" w:space="0" w:color="auto"/>
      </w:divBdr>
    </w:div>
    <w:div w:id="1069226641">
      <w:bodyDiv w:val="1"/>
      <w:marLeft w:val="0"/>
      <w:marRight w:val="0"/>
      <w:marTop w:val="0"/>
      <w:marBottom w:val="0"/>
      <w:divBdr>
        <w:top w:val="none" w:sz="0" w:space="0" w:color="auto"/>
        <w:left w:val="none" w:sz="0" w:space="0" w:color="auto"/>
        <w:bottom w:val="none" w:sz="0" w:space="0" w:color="auto"/>
        <w:right w:val="none" w:sz="0" w:space="0" w:color="auto"/>
      </w:divBdr>
    </w:div>
    <w:div w:id="1075126430">
      <w:bodyDiv w:val="1"/>
      <w:marLeft w:val="0"/>
      <w:marRight w:val="0"/>
      <w:marTop w:val="0"/>
      <w:marBottom w:val="0"/>
      <w:divBdr>
        <w:top w:val="none" w:sz="0" w:space="0" w:color="auto"/>
        <w:left w:val="none" w:sz="0" w:space="0" w:color="auto"/>
        <w:bottom w:val="none" w:sz="0" w:space="0" w:color="auto"/>
        <w:right w:val="none" w:sz="0" w:space="0" w:color="auto"/>
      </w:divBdr>
    </w:div>
    <w:div w:id="1197348353">
      <w:bodyDiv w:val="1"/>
      <w:marLeft w:val="0"/>
      <w:marRight w:val="0"/>
      <w:marTop w:val="0"/>
      <w:marBottom w:val="0"/>
      <w:divBdr>
        <w:top w:val="none" w:sz="0" w:space="0" w:color="auto"/>
        <w:left w:val="none" w:sz="0" w:space="0" w:color="auto"/>
        <w:bottom w:val="none" w:sz="0" w:space="0" w:color="auto"/>
        <w:right w:val="none" w:sz="0" w:space="0" w:color="auto"/>
      </w:divBdr>
    </w:div>
    <w:div w:id="1258518740">
      <w:bodyDiv w:val="1"/>
      <w:marLeft w:val="0"/>
      <w:marRight w:val="0"/>
      <w:marTop w:val="0"/>
      <w:marBottom w:val="0"/>
      <w:divBdr>
        <w:top w:val="none" w:sz="0" w:space="0" w:color="auto"/>
        <w:left w:val="none" w:sz="0" w:space="0" w:color="auto"/>
        <w:bottom w:val="none" w:sz="0" w:space="0" w:color="auto"/>
        <w:right w:val="none" w:sz="0" w:space="0" w:color="auto"/>
      </w:divBdr>
    </w:div>
    <w:div w:id="1317563887">
      <w:bodyDiv w:val="1"/>
      <w:marLeft w:val="0"/>
      <w:marRight w:val="0"/>
      <w:marTop w:val="0"/>
      <w:marBottom w:val="0"/>
      <w:divBdr>
        <w:top w:val="none" w:sz="0" w:space="0" w:color="auto"/>
        <w:left w:val="none" w:sz="0" w:space="0" w:color="auto"/>
        <w:bottom w:val="none" w:sz="0" w:space="0" w:color="auto"/>
        <w:right w:val="none" w:sz="0" w:space="0" w:color="auto"/>
      </w:divBdr>
    </w:div>
    <w:div w:id="1324510070">
      <w:bodyDiv w:val="1"/>
      <w:marLeft w:val="0"/>
      <w:marRight w:val="0"/>
      <w:marTop w:val="0"/>
      <w:marBottom w:val="0"/>
      <w:divBdr>
        <w:top w:val="none" w:sz="0" w:space="0" w:color="auto"/>
        <w:left w:val="none" w:sz="0" w:space="0" w:color="auto"/>
        <w:bottom w:val="none" w:sz="0" w:space="0" w:color="auto"/>
        <w:right w:val="none" w:sz="0" w:space="0" w:color="auto"/>
      </w:divBdr>
    </w:div>
    <w:div w:id="1340111643">
      <w:bodyDiv w:val="1"/>
      <w:marLeft w:val="0"/>
      <w:marRight w:val="0"/>
      <w:marTop w:val="0"/>
      <w:marBottom w:val="0"/>
      <w:divBdr>
        <w:top w:val="none" w:sz="0" w:space="0" w:color="auto"/>
        <w:left w:val="none" w:sz="0" w:space="0" w:color="auto"/>
        <w:bottom w:val="none" w:sz="0" w:space="0" w:color="auto"/>
        <w:right w:val="none" w:sz="0" w:space="0" w:color="auto"/>
      </w:divBdr>
    </w:div>
    <w:div w:id="1367174897">
      <w:bodyDiv w:val="1"/>
      <w:marLeft w:val="0"/>
      <w:marRight w:val="0"/>
      <w:marTop w:val="0"/>
      <w:marBottom w:val="0"/>
      <w:divBdr>
        <w:top w:val="none" w:sz="0" w:space="0" w:color="auto"/>
        <w:left w:val="none" w:sz="0" w:space="0" w:color="auto"/>
        <w:bottom w:val="none" w:sz="0" w:space="0" w:color="auto"/>
        <w:right w:val="none" w:sz="0" w:space="0" w:color="auto"/>
      </w:divBdr>
    </w:div>
    <w:div w:id="1379936765">
      <w:bodyDiv w:val="1"/>
      <w:marLeft w:val="0"/>
      <w:marRight w:val="0"/>
      <w:marTop w:val="0"/>
      <w:marBottom w:val="0"/>
      <w:divBdr>
        <w:top w:val="none" w:sz="0" w:space="0" w:color="auto"/>
        <w:left w:val="none" w:sz="0" w:space="0" w:color="auto"/>
        <w:bottom w:val="none" w:sz="0" w:space="0" w:color="auto"/>
        <w:right w:val="none" w:sz="0" w:space="0" w:color="auto"/>
      </w:divBdr>
    </w:div>
    <w:div w:id="1713573278">
      <w:bodyDiv w:val="1"/>
      <w:marLeft w:val="0"/>
      <w:marRight w:val="0"/>
      <w:marTop w:val="0"/>
      <w:marBottom w:val="0"/>
      <w:divBdr>
        <w:top w:val="none" w:sz="0" w:space="0" w:color="auto"/>
        <w:left w:val="none" w:sz="0" w:space="0" w:color="auto"/>
        <w:bottom w:val="none" w:sz="0" w:space="0" w:color="auto"/>
        <w:right w:val="none" w:sz="0" w:space="0" w:color="auto"/>
      </w:divBdr>
    </w:div>
    <w:div w:id="1733843301">
      <w:bodyDiv w:val="1"/>
      <w:marLeft w:val="0"/>
      <w:marRight w:val="0"/>
      <w:marTop w:val="0"/>
      <w:marBottom w:val="0"/>
      <w:divBdr>
        <w:top w:val="none" w:sz="0" w:space="0" w:color="auto"/>
        <w:left w:val="none" w:sz="0" w:space="0" w:color="auto"/>
        <w:bottom w:val="none" w:sz="0" w:space="0" w:color="auto"/>
        <w:right w:val="none" w:sz="0" w:space="0" w:color="auto"/>
      </w:divBdr>
    </w:div>
    <w:div w:id="1835684149">
      <w:bodyDiv w:val="1"/>
      <w:marLeft w:val="0"/>
      <w:marRight w:val="0"/>
      <w:marTop w:val="0"/>
      <w:marBottom w:val="0"/>
      <w:divBdr>
        <w:top w:val="none" w:sz="0" w:space="0" w:color="auto"/>
        <w:left w:val="none" w:sz="0" w:space="0" w:color="auto"/>
        <w:bottom w:val="none" w:sz="0" w:space="0" w:color="auto"/>
        <w:right w:val="none" w:sz="0" w:space="0" w:color="auto"/>
      </w:divBdr>
    </w:div>
    <w:div w:id="1843157214">
      <w:bodyDiv w:val="1"/>
      <w:marLeft w:val="0"/>
      <w:marRight w:val="0"/>
      <w:marTop w:val="0"/>
      <w:marBottom w:val="0"/>
      <w:divBdr>
        <w:top w:val="none" w:sz="0" w:space="0" w:color="auto"/>
        <w:left w:val="none" w:sz="0" w:space="0" w:color="auto"/>
        <w:bottom w:val="none" w:sz="0" w:space="0" w:color="auto"/>
        <w:right w:val="none" w:sz="0" w:space="0" w:color="auto"/>
      </w:divBdr>
    </w:div>
    <w:div w:id="1940797696">
      <w:bodyDiv w:val="1"/>
      <w:marLeft w:val="0"/>
      <w:marRight w:val="0"/>
      <w:marTop w:val="0"/>
      <w:marBottom w:val="0"/>
      <w:divBdr>
        <w:top w:val="none" w:sz="0" w:space="0" w:color="auto"/>
        <w:left w:val="none" w:sz="0" w:space="0" w:color="auto"/>
        <w:bottom w:val="none" w:sz="0" w:space="0" w:color="auto"/>
        <w:right w:val="none" w:sz="0" w:space="0" w:color="auto"/>
      </w:divBdr>
    </w:div>
    <w:div w:id="1987472368">
      <w:bodyDiv w:val="1"/>
      <w:marLeft w:val="0"/>
      <w:marRight w:val="0"/>
      <w:marTop w:val="0"/>
      <w:marBottom w:val="0"/>
      <w:divBdr>
        <w:top w:val="none" w:sz="0" w:space="0" w:color="auto"/>
        <w:left w:val="none" w:sz="0" w:space="0" w:color="auto"/>
        <w:bottom w:val="none" w:sz="0" w:space="0" w:color="auto"/>
        <w:right w:val="none" w:sz="0" w:space="0" w:color="auto"/>
      </w:divBdr>
    </w:div>
    <w:div w:id="2027247438">
      <w:bodyDiv w:val="1"/>
      <w:marLeft w:val="0"/>
      <w:marRight w:val="0"/>
      <w:marTop w:val="0"/>
      <w:marBottom w:val="0"/>
      <w:divBdr>
        <w:top w:val="none" w:sz="0" w:space="0" w:color="auto"/>
        <w:left w:val="none" w:sz="0" w:space="0" w:color="auto"/>
        <w:bottom w:val="none" w:sz="0" w:space="0" w:color="auto"/>
        <w:right w:val="none" w:sz="0" w:space="0" w:color="auto"/>
      </w:divBdr>
    </w:div>
    <w:div w:id="2053066708">
      <w:bodyDiv w:val="1"/>
      <w:marLeft w:val="0"/>
      <w:marRight w:val="0"/>
      <w:marTop w:val="0"/>
      <w:marBottom w:val="0"/>
      <w:divBdr>
        <w:top w:val="none" w:sz="0" w:space="0" w:color="auto"/>
        <w:left w:val="none" w:sz="0" w:space="0" w:color="auto"/>
        <w:bottom w:val="none" w:sz="0" w:space="0" w:color="auto"/>
        <w:right w:val="none" w:sz="0" w:space="0" w:color="auto"/>
      </w:divBdr>
    </w:div>
    <w:div w:id="21060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planning/draft-strategy-and-policy/joint-housing-land-availability-study-jhl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cons-npa.gov.uk/the-authority/who-we-are/npmp/state-of-the-park-report-2/" TargetMode="External"/><Relationship Id="rId4" Type="http://schemas.openxmlformats.org/officeDocument/2006/relationships/settings" Target="settings.xml"/><Relationship Id="rId9" Type="http://schemas.openxmlformats.org/officeDocument/2006/relationships/hyperlink" Target="http://www.beacons-npa.gov.uk/communities/tourism-new/tourism-facts-and-figu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851B-1BA2-41AF-AA12-9F3C7E10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14589</Words>
  <Characters>83159</Characters>
  <Application>Microsoft Office Word</Application>
  <DocSecurity>4</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97553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Greaney</dc:creator>
  <cp:lastModifiedBy>Matthew Scanlon</cp:lastModifiedBy>
  <cp:revision>2</cp:revision>
  <cp:lastPrinted>2017-09-06T14:22:00Z</cp:lastPrinted>
  <dcterms:created xsi:type="dcterms:W3CDTF">2017-10-25T10:45:00Z</dcterms:created>
  <dcterms:modified xsi:type="dcterms:W3CDTF">2017-10-25T10:45:00Z</dcterms:modified>
</cp:coreProperties>
</file>