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D8AD" w14:textId="77777777" w:rsidR="009E2A1B" w:rsidRPr="009E2A1B" w:rsidRDefault="009E2A1B" w:rsidP="009E2A1B">
      <w:pPr>
        <w:spacing w:after="0" w:line="240" w:lineRule="auto"/>
        <w:rPr>
          <w:rFonts w:ascii="Gill Sans MT" w:hAnsi="Gill Sans MT"/>
          <w:b/>
          <w:bCs/>
          <w:sz w:val="24"/>
          <w:szCs w:val="24"/>
        </w:rPr>
      </w:pPr>
      <w:r w:rsidRPr="009E2A1B">
        <w:rPr>
          <w:rFonts w:ascii="Gill Sans MT" w:hAnsi="Gill Sans MT"/>
          <w:b/>
          <w:bCs/>
          <w:sz w:val="24"/>
          <w:szCs w:val="24"/>
        </w:rPr>
        <w:t>Habitats Regulations Assessment of the draft National Park Management Plan.</w:t>
      </w:r>
    </w:p>
    <w:p w14:paraId="2DE32477" w14:textId="77777777" w:rsidR="009E2A1B" w:rsidRPr="009E2A1B" w:rsidRDefault="009E2A1B" w:rsidP="009E2A1B">
      <w:pPr>
        <w:spacing w:after="0" w:line="240" w:lineRule="auto"/>
        <w:rPr>
          <w:rFonts w:ascii="Gill Sans MT" w:hAnsi="Gill Sans MT"/>
          <w:b/>
          <w:bCs/>
          <w:sz w:val="24"/>
          <w:szCs w:val="24"/>
        </w:rPr>
      </w:pPr>
    </w:p>
    <w:p w14:paraId="0D31839D" w14:textId="094D1190"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The B</w:t>
      </w:r>
      <w:r w:rsidR="008065CB">
        <w:rPr>
          <w:rFonts w:ascii="Gill Sans MT" w:hAnsi="Gill Sans MT"/>
          <w:sz w:val="24"/>
          <w:szCs w:val="24"/>
        </w:rPr>
        <w:t xml:space="preserve">recon Beacons National Park Authority </w:t>
      </w:r>
      <w:r w:rsidRPr="009E2A1B">
        <w:rPr>
          <w:rFonts w:ascii="Gill Sans MT" w:hAnsi="Gill Sans MT"/>
          <w:sz w:val="24"/>
          <w:szCs w:val="24"/>
        </w:rPr>
        <w:t>is a competent authority under the Conservation of Habitats and Species Regulations 2017 (as amended), commonly referred to as the Habitats Regulations and must assess the Plan, before it is put into effect, as a matter of law (Regulation 63).</w:t>
      </w:r>
    </w:p>
    <w:p w14:paraId="3F92D09D" w14:textId="77777777" w:rsidR="009E2A1B" w:rsidRPr="009E2A1B" w:rsidRDefault="009E2A1B" w:rsidP="009E2A1B">
      <w:pPr>
        <w:spacing w:after="0" w:line="240" w:lineRule="auto"/>
        <w:rPr>
          <w:rFonts w:ascii="Gill Sans MT" w:hAnsi="Gill Sans MT"/>
          <w:sz w:val="24"/>
          <w:szCs w:val="24"/>
        </w:rPr>
      </w:pPr>
    </w:p>
    <w:p w14:paraId="7E59E1CF" w14:textId="77777777"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This assessment is generally referred to as a ‘Habitats Regulations Assessment’ or ‘HRA’ and the regulations set out a clearly defined stepwise process which must be followed.</w:t>
      </w:r>
    </w:p>
    <w:p w14:paraId="5938CD0A" w14:textId="77777777" w:rsidR="009E2A1B" w:rsidRPr="009E2A1B" w:rsidRDefault="009E2A1B" w:rsidP="009E2A1B">
      <w:pPr>
        <w:spacing w:after="0" w:line="240" w:lineRule="auto"/>
        <w:rPr>
          <w:rFonts w:ascii="Gill Sans MT" w:hAnsi="Gill Sans MT"/>
          <w:sz w:val="24"/>
          <w:szCs w:val="24"/>
        </w:rPr>
      </w:pPr>
    </w:p>
    <w:p w14:paraId="731EE8CC" w14:textId="77777777"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 xml:space="preserve">Under the regulations, HRA is required in respect of both ‘plans’ and ‘projects. Where a project is subject to assessment, there is generally sufficiently detailed project specific information against which to make a comprehensive assessment. </w:t>
      </w:r>
    </w:p>
    <w:p w14:paraId="03D5D718" w14:textId="77777777" w:rsidR="009E2A1B" w:rsidRPr="009E2A1B" w:rsidRDefault="009E2A1B" w:rsidP="009E2A1B">
      <w:pPr>
        <w:spacing w:after="0" w:line="240" w:lineRule="auto"/>
        <w:rPr>
          <w:rFonts w:ascii="Gill Sans MT" w:hAnsi="Gill Sans MT"/>
          <w:sz w:val="24"/>
          <w:szCs w:val="24"/>
        </w:rPr>
      </w:pPr>
    </w:p>
    <w:p w14:paraId="3DA9664C" w14:textId="77777777"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 xml:space="preserve">However, a plan-based assessment is different; The Plan sets out broad intentions and lacking information which is available when a detailed projects are developed (this may not be until after the Plan has been published). </w:t>
      </w:r>
    </w:p>
    <w:p w14:paraId="26C63C64" w14:textId="77777777" w:rsidR="009E2A1B" w:rsidRPr="009E2A1B" w:rsidRDefault="009E2A1B" w:rsidP="009E2A1B">
      <w:pPr>
        <w:spacing w:after="0" w:line="240" w:lineRule="auto"/>
        <w:rPr>
          <w:rFonts w:ascii="Gill Sans MT" w:hAnsi="Gill Sans MT"/>
          <w:sz w:val="24"/>
          <w:szCs w:val="24"/>
        </w:rPr>
      </w:pPr>
    </w:p>
    <w:p w14:paraId="1E078672" w14:textId="77777777"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 xml:space="preserve">As such, the HRA of a ‘plan’ is recognised to require a different approach to that of a ‘project’ and is tailored to the plan being assessed; assessments are made to the extent possible on the basis of the precision of the plan, but such an assessment cannot do more than the level of detail of the plan at that stage permits. </w:t>
      </w:r>
    </w:p>
    <w:p w14:paraId="21BD8D25" w14:textId="77777777" w:rsidR="009E2A1B" w:rsidRPr="009E2A1B" w:rsidRDefault="009E2A1B" w:rsidP="009E2A1B">
      <w:pPr>
        <w:spacing w:after="0" w:line="240" w:lineRule="auto"/>
        <w:rPr>
          <w:rFonts w:ascii="Gill Sans MT" w:hAnsi="Gill Sans MT"/>
          <w:sz w:val="24"/>
          <w:szCs w:val="24"/>
        </w:rPr>
      </w:pPr>
    </w:p>
    <w:p w14:paraId="7FDC9416" w14:textId="77777777"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 xml:space="preserve">Although plans are capable of significantly affecting Special Areas of Conservation (“SAC”) and therefore the National Sites Network (formerly ‘European sites’), elements of a plan that are no more than general policy statements or which express the general political will of an authority cannot, generally, be likely to have a significant effect on a site. </w:t>
      </w:r>
    </w:p>
    <w:p w14:paraId="4C2A136A" w14:textId="77777777" w:rsidR="009E2A1B" w:rsidRPr="009E2A1B" w:rsidRDefault="009E2A1B" w:rsidP="009E2A1B">
      <w:pPr>
        <w:spacing w:after="0" w:line="240" w:lineRule="auto"/>
        <w:rPr>
          <w:rFonts w:ascii="Gill Sans MT" w:hAnsi="Gill Sans MT"/>
          <w:sz w:val="24"/>
          <w:szCs w:val="24"/>
        </w:rPr>
        <w:sectPr w:rsidR="009E2A1B" w:rsidRPr="009E2A1B" w:rsidSect="000A2777">
          <w:footerReference w:type="default" r:id="rId5"/>
          <w:type w:val="continuous"/>
          <w:pgSz w:w="11906" w:h="16838"/>
          <w:pgMar w:top="1440" w:right="1440" w:bottom="1440" w:left="1440" w:header="708" w:footer="708" w:gutter="0"/>
          <w:cols w:space="708"/>
          <w:docGrid w:linePitch="360"/>
        </w:sectPr>
      </w:pPr>
    </w:p>
    <w:p w14:paraId="0537BA6E" w14:textId="77777777" w:rsidR="009E2A1B" w:rsidRPr="009E2A1B" w:rsidRDefault="009E2A1B" w:rsidP="009E2A1B">
      <w:pPr>
        <w:spacing w:after="0" w:line="240" w:lineRule="auto"/>
        <w:rPr>
          <w:rFonts w:ascii="Gill Sans MT" w:hAnsi="Gill Sans MT"/>
          <w:b/>
          <w:bCs/>
          <w:sz w:val="24"/>
          <w:szCs w:val="24"/>
        </w:rPr>
      </w:pPr>
    </w:p>
    <w:p w14:paraId="18436F96" w14:textId="2A1AE19C"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 xml:space="preserve">Having identified the longlist </w:t>
      </w:r>
      <w:r w:rsidR="00BF1CC5" w:rsidRPr="009E2A1B">
        <w:rPr>
          <w:rFonts w:ascii="Gill Sans MT" w:hAnsi="Gill Sans MT"/>
          <w:sz w:val="24"/>
          <w:szCs w:val="24"/>
        </w:rPr>
        <w:t>of sites considered by this assessment (where at least part of the SAC (Special Area of Conservation) is within 15km of the National Park boundary)</w:t>
      </w:r>
      <w:r w:rsidR="00BF1CC5">
        <w:rPr>
          <w:rFonts w:ascii="Gill Sans MT" w:hAnsi="Gill Sans MT"/>
          <w:sz w:val="24"/>
          <w:szCs w:val="24"/>
        </w:rPr>
        <w:t xml:space="preserve"> </w:t>
      </w:r>
      <w:r w:rsidRPr="009E2A1B">
        <w:rPr>
          <w:rFonts w:ascii="Gill Sans MT" w:hAnsi="Gill Sans MT"/>
          <w:sz w:val="24"/>
          <w:szCs w:val="24"/>
        </w:rPr>
        <w:t>and examined the issues,</w:t>
      </w:r>
      <w:r w:rsidR="005B488F">
        <w:rPr>
          <w:rFonts w:ascii="Gill Sans MT" w:hAnsi="Gill Sans MT"/>
          <w:sz w:val="24"/>
          <w:szCs w:val="24"/>
        </w:rPr>
        <w:t xml:space="preserve"> all</w:t>
      </w:r>
      <w:r w:rsidRPr="009E2A1B">
        <w:rPr>
          <w:rFonts w:ascii="Gill Sans MT" w:hAnsi="Gill Sans MT"/>
          <w:sz w:val="24"/>
          <w:szCs w:val="24"/>
        </w:rPr>
        <w:t xml:space="preserve"> sites outside the National Park </w:t>
      </w:r>
      <w:r w:rsidR="005B488F">
        <w:rPr>
          <w:rFonts w:ascii="Gill Sans MT" w:hAnsi="Gill Sans MT"/>
          <w:sz w:val="24"/>
          <w:szCs w:val="24"/>
        </w:rPr>
        <w:t>were</w:t>
      </w:r>
      <w:r w:rsidRPr="009E2A1B">
        <w:rPr>
          <w:rFonts w:ascii="Gill Sans MT" w:hAnsi="Gill Sans MT"/>
          <w:sz w:val="24"/>
          <w:szCs w:val="24"/>
        </w:rPr>
        <w:t xml:space="preserve"> omitted from the short list of sites potentially affected. The only hypothetical pathway identified was </w:t>
      </w:r>
      <w:r w:rsidRPr="009E2A1B">
        <w:rPr>
          <w:rFonts w:ascii="Gill Sans MT" w:hAnsi="Gill Sans MT"/>
          <w:i/>
          <w:iCs/>
          <w:sz w:val="24"/>
          <w:szCs w:val="24"/>
        </w:rPr>
        <w:t xml:space="preserve">Air Pollution: Nitrogen Deposition </w:t>
      </w:r>
      <w:r w:rsidRPr="009E2A1B">
        <w:rPr>
          <w:rFonts w:ascii="Gill Sans MT" w:hAnsi="Gill Sans MT"/>
          <w:sz w:val="24"/>
          <w:szCs w:val="24"/>
        </w:rPr>
        <w:t>for which there is no credible evidence of a real link between the Plan and the sites.</w:t>
      </w:r>
    </w:p>
    <w:p w14:paraId="6E1C9C77" w14:textId="77777777" w:rsidR="009E2A1B" w:rsidRPr="009E2A1B" w:rsidRDefault="009E2A1B" w:rsidP="009E2A1B">
      <w:pPr>
        <w:spacing w:after="0" w:line="240" w:lineRule="auto"/>
        <w:rPr>
          <w:rFonts w:ascii="Gill Sans MT" w:hAnsi="Gill Sans MT"/>
          <w:sz w:val="24"/>
          <w:szCs w:val="24"/>
        </w:rPr>
      </w:pPr>
    </w:p>
    <w:p w14:paraId="5AAB6C4D" w14:textId="4FCA378D" w:rsidR="009E2A1B" w:rsidRPr="009E2A1B" w:rsidRDefault="009E2A1B" w:rsidP="009E2A1B">
      <w:pPr>
        <w:spacing w:after="0" w:line="240" w:lineRule="auto"/>
        <w:rPr>
          <w:rFonts w:ascii="Gill Sans MT" w:hAnsi="Gill Sans MT"/>
          <w:sz w:val="24"/>
          <w:szCs w:val="24"/>
        </w:rPr>
      </w:pPr>
      <w:r w:rsidRPr="009E2A1B">
        <w:rPr>
          <w:rFonts w:ascii="Gill Sans MT" w:hAnsi="Gill Sans MT"/>
          <w:sz w:val="24"/>
          <w:szCs w:val="24"/>
        </w:rPr>
        <w:t xml:space="preserve">Twelve sites </w:t>
      </w:r>
      <w:r w:rsidR="005B488F">
        <w:rPr>
          <w:rFonts w:ascii="Gill Sans MT" w:hAnsi="Gill Sans MT"/>
          <w:sz w:val="24"/>
          <w:szCs w:val="24"/>
        </w:rPr>
        <w:t>were</w:t>
      </w:r>
      <w:r w:rsidRPr="009E2A1B">
        <w:rPr>
          <w:rFonts w:ascii="Gill Sans MT" w:hAnsi="Gill Sans MT"/>
          <w:sz w:val="24"/>
          <w:szCs w:val="24"/>
        </w:rPr>
        <w:t xml:space="preserve"> shortlisted as potentially affected</w:t>
      </w:r>
      <w:r w:rsidR="005B488F">
        <w:rPr>
          <w:rFonts w:ascii="Gill Sans MT" w:hAnsi="Gill Sans MT"/>
          <w:sz w:val="24"/>
          <w:szCs w:val="24"/>
        </w:rPr>
        <w:t xml:space="preserve"> by the draft National Park Management Plan</w:t>
      </w:r>
      <w:r w:rsidRPr="009E2A1B">
        <w:rPr>
          <w:rFonts w:ascii="Gill Sans MT" w:hAnsi="Gill Sans MT"/>
          <w:sz w:val="24"/>
          <w:szCs w:val="24"/>
        </w:rPr>
        <w:t>:</w:t>
      </w:r>
    </w:p>
    <w:p w14:paraId="7D66B58A"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Blaen Cynon SAC</w:t>
      </w:r>
    </w:p>
    <w:p w14:paraId="684F5ABA"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Brecon Beacons SAC</w:t>
      </w:r>
    </w:p>
    <w:p w14:paraId="47588B7B"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Coedydd Nedd a Mellte SAC</w:t>
      </w:r>
    </w:p>
    <w:p w14:paraId="2AEBB577"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Coed y Cerrig SAC</w:t>
      </w:r>
    </w:p>
    <w:p w14:paraId="2F9D7085"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Cwm Cadlan SAC</w:t>
      </w:r>
    </w:p>
    <w:p w14:paraId="45F2736F"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Cwm Clydach Woodlands SAC</w:t>
      </w:r>
    </w:p>
    <w:p w14:paraId="0143505B"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Llangorse Lake/ Llyn Syfaddan SAC</w:t>
      </w:r>
    </w:p>
    <w:p w14:paraId="0E6E5D2C"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River Usk SAC</w:t>
      </w:r>
    </w:p>
    <w:p w14:paraId="3AF9179C"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River Wye SAC</w:t>
      </w:r>
    </w:p>
    <w:p w14:paraId="010B8A9D"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Sugar Loaf Woodlands SAC</w:t>
      </w:r>
    </w:p>
    <w:p w14:paraId="32D1570B"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Usk Bat Sites SAC</w:t>
      </w:r>
    </w:p>
    <w:p w14:paraId="240508B5" w14:textId="77777777" w:rsidR="009E2A1B" w:rsidRPr="009E2A1B" w:rsidRDefault="009E2A1B" w:rsidP="009E2A1B">
      <w:pPr>
        <w:numPr>
          <w:ilvl w:val="0"/>
          <w:numId w:val="34"/>
        </w:numPr>
        <w:spacing w:after="0" w:line="240" w:lineRule="auto"/>
        <w:rPr>
          <w:rFonts w:ascii="Gill Sans MT" w:hAnsi="Gill Sans MT"/>
          <w:sz w:val="24"/>
          <w:szCs w:val="24"/>
        </w:rPr>
      </w:pPr>
      <w:r w:rsidRPr="009E2A1B">
        <w:rPr>
          <w:rFonts w:ascii="Gill Sans MT" w:hAnsi="Gill Sans MT"/>
          <w:sz w:val="24"/>
          <w:szCs w:val="24"/>
        </w:rPr>
        <w:t>River Tywi SAC</w:t>
      </w:r>
    </w:p>
    <w:p w14:paraId="702BC036" w14:textId="77777777" w:rsidR="009E2A1B" w:rsidRPr="009E2A1B" w:rsidRDefault="009E2A1B" w:rsidP="009E2A1B">
      <w:pPr>
        <w:spacing w:after="0" w:line="240" w:lineRule="auto"/>
        <w:rPr>
          <w:rFonts w:ascii="Gill Sans MT" w:hAnsi="Gill Sans MT"/>
          <w:sz w:val="24"/>
          <w:szCs w:val="24"/>
        </w:rPr>
      </w:pPr>
    </w:p>
    <w:p w14:paraId="38C6103E" w14:textId="77777777" w:rsidR="009E2A1B" w:rsidRPr="009E2A1B" w:rsidRDefault="009E2A1B" w:rsidP="009E2A1B">
      <w:pPr>
        <w:spacing w:after="0" w:line="240" w:lineRule="auto"/>
        <w:rPr>
          <w:rFonts w:ascii="Gill Sans MT" w:hAnsi="Gill Sans MT"/>
          <w:sz w:val="24"/>
          <w:szCs w:val="24"/>
        </w:rPr>
      </w:pPr>
    </w:p>
    <w:p w14:paraId="22BFE456" w14:textId="3DF25F7F" w:rsidR="005B488F" w:rsidRDefault="009E2A1B" w:rsidP="005B488F">
      <w:pPr>
        <w:spacing w:after="0" w:line="240" w:lineRule="auto"/>
        <w:rPr>
          <w:rFonts w:ascii="Gill Sans MT" w:hAnsi="Gill Sans MT"/>
          <w:sz w:val="24"/>
          <w:szCs w:val="24"/>
        </w:rPr>
      </w:pPr>
      <w:r w:rsidRPr="009E2A1B">
        <w:rPr>
          <w:rFonts w:ascii="Gill Sans MT" w:hAnsi="Gill Sans MT"/>
          <w:sz w:val="24"/>
          <w:szCs w:val="24"/>
        </w:rPr>
        <w:t>Following a preliminary screening, all aspects of the plan were screened as having no likely significant effect, either alone or in combination</w:t>
      </w:r>
      <w:r w:rsidR="005B488F">
        <w:rPr>
          <w:rFonts w:ascii="Gill Sans MT" w:hAnsi="Gill Sans MT"/>
          <w:sz w:val="24"/>
          <w:szCs w:val="24"/>
        </w:rPr>
        <w:t xml:space="preserve"> against these sites</w:t>
      </w:r>
      <w:r w:rsidRPr="009E2A1B">
        <w:rPr>
          <w:rFonts w:ascii="Gill Sans MT" w:hAnsi="Gill Sans MT"/>
          <w:sz w:val="24"/>
          <w:szCs w:val="24"/>
        </w:rPr>
        <w:t xml:space="preserve">. The Plan will have no adverse effect on the integrity of any SAC identified on the shortlist of sites identified as potentially being affected. </w:t>
      </w:r>
    </w:p>
    <w:p w14:paraId="524B08C5" w14:textId="77777777" w:rsidR="005B488F" w:rsidRDefault="005B488F" w:rsidP="005B488F">
      <w:pPr>
        <w:spacing w:after="0" w:line="240" w:lineRule="auto"/>
        <w:rPr>
          <w:rFonts w:ascii="Gill Sans MT" w:hAnsi="Gill Sans MT"/>
          <w:sz w:val="24"/>
          <w:szCs w:val="24"/>
        </w:rPr>
      </w:pPr>
    </w:p>
    <w:p w14:paraId="6A07A8D0" w14:textId="5275F11E" w:rsidR="002423DD" w:rsidRDefault="002423DD" w:rsidP="000A2777">
      <w:pPr>
        <w:spacing w:after="0" w:line="240" w:lineRule="auto"/>
      </w:pPr>
    </w:p>
    <w:sectPr w:rsidR="002423DD" w:rsidSect="000A277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51F7" w14:textId="6B9FF967" w:rsidR="00BE0BB9" w:rsidRDefault="005B488F">
    <w:pPr>
      <w:pStyle w:val="Footer"/>
      <w:jc w:val="right"/>
    </w:pPr>
    <w:r>
      <w:fldChar w:fldCharType="begin"/>
    </w:r>
    <w:r>
      <w:instrText xml:space="preserve"> PAGE   \* MERGEFORMAT </w:instrText>
    </w:r>
    <w:r>
      <w:fldChar w:fldCharType="separate"/>
    </w:r>
    <w:r>
      <w:rPr>
        <w:noProof/>
      </w:rPr>
      <w:t>2</w:t>
    </w:r>
    <w:r>
      <w:rPr>
        <w:noProof/>
      </w:rPr>
      <w:fldChar w:fldCharType="end"/>
    </w:r>
  </w:p>
  <w:p w14:paraId="6D8B5E6C" w14:textId="77777777" w:rsidR="00EE079C" w:rsidRDefault="005B488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698"/>
    <w:multiLevelType w:val="hybridMultilevel"/>
    <w:tmpl w:val="3C08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4457A"/>
    <w:multiLevelType w:val="hybridMultilevel"/>
    <w:tmpl w:val="2C424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17D96"/>
    <w:multiLevelType w:val="hybridMultilevel"/>
    <w:tmpl w:val="4DDE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00C7"/>
    <w:multiLevelType w:val="multilevel"/>
    <w:tmpl w:val="E8A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B54C0"/>
    <w:multiLevelType w:val="hybridMultilevel"/>
    <w:tmpl w:val="A7C6CDA0"/>
    <w:lvl w:ilvl="0" w:tplc="FDCACAF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C38A8"/>
    <w:multiLevelType w:val="hybridMultilevel"/>
    <w:tmpl w:val="7A20B6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1E7C75"/>
    <w:multiLevelType w:val="hybridMultilevel"/>
    <w:tmpl w:val="F350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05CA9"/>
    <w:multiLevelType w:val="hybridMultilevel"/>
    <w:tmpl w:val="2BD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12B8E"/>
    <w:multiLevelType w:val="hybridMultilevel"/>
    <w:tmpl w:val="D85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97823"/>
    <w:multiLevelType w:val="hybridMultilevel"/>
    <w:tmpl w:val="06041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F085A"/>
    <w:multiLevelType w:val="multilevel"/>
    <w:tmpl w:val="34D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85F68"/>
    <w:multiLevelType w:val="hybridMultilevel"/>
    <w:tmpl w:val="B2F4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917D9"/>
    <w:multiLevelType w:val="hybridMultilevel"/>
    <w:tmpl w:val="3970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97745"/>
    <w:multiLevelType w:val="hybridMultilevel"/>
    <w:tmpl w:val="B5F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474AD"/>
    <w:multiLevelType w:val="hybridMultilevel"/>
    <w:tmpl w:val="AB5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C38CD"/>
    <w:multiLevelType w:val="hybridMultilevel"/>
    <w:tmpl w:val="843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5714A"/>
    <w:multiLevelType w:val="hybridMultilevel"/>
    <w:tmpl w:val="C300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534B2"/>
    <w:multiLevelType w:val="hybridMultilevel"/>
    <w:tmpl w:val="B918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32AB4"/>
    <w:multiLevelType w:val="hybridMultilevel"/>
    <w:tmpl w:val="B456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04E80"/>
    <w:multiLevelType w:val="hybridMultilevel"/>
    <w:tmpl w:val="8C8A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A2049"/>
    <w:multiLevelType w:val="hybridMultilevel"/>
    <w:tmpl w:val="92E0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8377B"/>
    <w:multiLevelType w:val="hybridMultilevel"/>
    <w:tmpl w:val="4316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B56F5"/>
    <w:multiLevelType w:val="hybridMultilevel"/>
    <w:tmpl w:val="0D52705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89B26A2"/>
    <w:multiLevelType w:val="hybridMultilevel"/>
    <w:tmpl w:val="A45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51460"/>
    <w:multiLevelType w:val="hybridMultilevel"/>
    <w:tmpl w:val="A112D3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C69A4"/>
    <w:multiLevelType w:val="hybridMultilevel"/>
    <w:tmpl w:val="FDE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D505A"/>
    <w:multiLevelType w:val="hybridMultilevel"/>
    <w:tmpl w:val="BE4C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A2651"/>
    <w:multiLevelType w:val="hybridMultilevel"/>
    <w:tmpl w:val="528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5737E"/>
    <w:multiLevelType w:val="hybridMultilevel"/>
    <w:tmpl w:val="219C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B621F"/>
    <w:multiLevelType w:val="hybridMultilevel"/>
    <w:tmpl w:val="249C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A2B51"/>
    <w:multiLevelType w:val="hybridMultilevel"/>
    <w:tmpl w:val="0D52705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A954898"/>
    <w:multiLevelType w:val="hybridMultilevel"/>
    <w:tmpl w:val="739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C6D38"/>
    <w:multiLevelType w:val="hybridMultilevel"/>
    <w:tmpl w:val="8CBA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6B0310"/>
    <w:multiLevelType w:val="hybridMultilevel"/>
    <w:tmpl w:val="6430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0290D"/>
    <w:multiLevelType w:val="hybridMultilevel"/>
    <w:tmpl w:val="016C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43400"/>
    <w:multiLevelType w:val="hybridMultilevel"/>
    <w:tmpl w:val="1E8E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3"/>
  </w:num>
  <w:num w:numId="6">
    <w:abstractNumId w:val="24"/>
  </w:num>
  <w:num w:numId="7">
    <w:abstractNumId w:val="30"/>
  </w:num>
  <w:num w:numId="8">
    <w:abstractNumId w:val="0"/>
  </w:num>
  <w:num w:numId="9">
    <w:abstractNumId w:val="12"/>
  </w:num>
  <w:num w:numId="10">
    <w:abstractNumId w:val="19"/>
  </w:num>
  <w:num w:numId="11">
    <w:abstractNumId w:val="25"/>
  </w:num>
  <w:num w:numId="12">
    <w:abstractNumId w:val="27"/>
  </w:num>
  <w:num w:numId="13">
    <w:abstractNumId w:val="29"/>
  </w:num>
  <w:num w:numId="14">
    <w:abstractNumId w:val="8"/>
  </w:num>
  <w:num w:numId="15">
    <w:abstractNumId w:val="7"/>
  </w:num>
  <w:num w:numId="16">
    <w:abstractNumId w:val="35"/>
  </w:num>
  <w:num w:numId="17">
    <w:abstractNumId w:val="26"/>
  </w:num>
  <w:num w:numId="18">
    <w:abstractNumId w:val="6"/>
  </w:num>
  <w:num w:numId="19">
    <w:abstractNumId w:val="20"/>
  </w:num>
  <w:num w:numId="20">
    <w:abstractNumId w:val="31"/>
  </w:num>
  <w:num w:numId="21">
    <w:abstractNumId w:val="28"/>
  </w:num>
  <w:num w:numId="22">
    <w:abstractNumId w:val="34"/>
  </w:num>
  <w:num w:numId="23">
    <w:abstractNumId w:val="23"/>
  </w:num>
  <w:num w:numId="24">
    <w:abstractNumId w:val="15"/>
  </w:num>
  <w:num w:numId="25">
    <w:abstractNumId w:val="14"/>
  </w:num>
  <w:num w:numId="26">
    <w:abstractNumId w:val="32"/>
  </w:num>
  <w:num w:numId="27">
    <w:abstractNumId w:val="16"/>
  </w:num>
  <w:num w:numId="28">
    <w:abstractNumId w:val="2"/>
  </w:num>
  <w:num w:numId="29">
    <w:abstractNumId w:val="18"/>
  </w:num>
  <w:num w:numId="30">
    <w:abstractNumId w:val="13"/>
  </w:num>
  <w:num w:numId="31">
    <w:abstractNumId w:val="11"/>
  </w:num>
  <w:num w:numId="32">
    <w:abstractNumId w:val="21"/>
  </w:num>
  <w:num w:numId="33">
    <w:abstractNumId w:val="33"/>
  </w:num>
  <w:num w:numId="34">
    <w:abstractNumId w:val="17"/>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5A"/>
    <w:rsid w:val="000A2777"/>
    <w:rsid w:val="000A4C06"/>
    <w:rsid w:val="002423DD"/>
    <w:rsid w:val="005B488F"/>
    <w:rsid w:val="0074054D"/>
    <w:rsid w:val="008065CB"/>
    <w:rsid w:val="009E2A1B"/>
    <w:rsid w:val="00BF1CC5"/>
    <w:rsid w:val="00C6308C"/>
    <w:rsid w:val="00E3455A"/>
    <w:rsid w:val="00F2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5D0"/>
  <w15:chartTrackingRefBased/>
  <w15:docId w15:val="{9485CC3D-6FF8-42B2-BAEB-40E4ECF4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2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2A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8">
    <w:name w:val="heading 8"/>
    <w:basedOn w:val="Normal"/>
    <w:next w:val="Normal"/>
    <w:link w:val="Heading8Char"/>
    <w:uiPriority w:val="9"/>
    <w:semiHidden/>
    <w:unhideWhenUsed/>
    <w:qFormat/>
    <w:rsid w:val="009E2A1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A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2A1B"/>
    <w:rPr>
      <w:rFonts w:ascii="Times New Roman" w:eastAsia="Times New Roman" w:hAnsi="Times New Roman" w:cs="Times New Roman"/>
      <w:b/>
      <w:bCs/>
      <w:sz w:val="36"/>
      <w:szCs w:val="36"/>
      <w:lang w:eastAsia="en-GB"/>
    </w:rPr>
  </w:style>
  <w:style w:type="character" w:customStyle="1" w:styleId="Heading8Char">
    <w:name w:val="Heading 8 Char"/>
    <w:basedOn w:val="DefaultParagraphFont"/>
    <w:link w:val="Heading8"/>
    <w:uiPriority w:val="9"/>
    <w:semiHidden/>
    <w:rsid w:val="009E2A1B"/>
    <w:rPr>
      <w:rFonts w:asciiTheme="majorHAnsi" w:eastAsiaTheme="majorEastAsia" w:hAnsiTheme="majorHAnsi" w:cstheme="majorBidi"/>
      <w:color w:val="272727" w:themeColor="text1" w:themeTint="D8"/>
      <w:sz w:val="21"/>
      <w:szCs w:val="21"/>
    </w:rPr>
  </w:style>
  <w:style w:type="paragraph" w:customStyle="1" w:styleId="Default">
    <w:name w:val="Default"/>
    <w:rsid w:val="009E2A1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E2A1B"/>
    <w:pPr>
      <w:spacing w:after="0" w:line="240" w:lineRule="auto"/>
    </w:pPr>
  </w:style>
  <w:style w:type="table" w:styleId="TableGrid">
    <w:name w:val="Table Grid"/>
    <w:basedOn w:val="TableNormal"/>
    <w:uiPriority w:val="39"/>
    <w:rsid w:val="009E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A1B"/>
    <w:rPr>
      <w:color w:val="0563C1" w:themeColor="hyperlink"/>
      <w:u w:val="single"/>
    </w:rPr>
  </w:style>
  <w:style w:type="character" w:styleId="UnresolvedMention">
    <w:name w:val="Unresolved Mention"/>
    <w:basedOn w:val="DefaultParagraphFont"/>
    <w:uiPriority w:val="99"/>
    <w:semiHidden/>
    <w:unhideWhenUsed/>
    <w:rsid w:val="009E2A1B"/>
    <w:rPr>
      <w:color w:val="605E5C"/>
      <w:shd w:val="clear" w:color="auto" w:fill="E1DFDD"/>
    </w:rPr>
  </w:style>
  <w:style w:type="paragraph" w:styleId="ListParagraph">
    <w:name w:val="List Paragraph"/>
    <w:basedOn w:val="Normal"/>
    <w:link w:val="ListParagraphChar"/>
    <w:uiPriority w:val="34"/>
    <w:qFormat/>
    <w:rsid w:val="009E2A1B"/>
    <w:pPr>
      <w:ind w:left="720"/>
      <w:contextualSpacing/>
    </w:pPr>
  </w:style>
  <w:style w:type="character" w:styleId="IntenseReference">
    <w:name w:val="Intense Reference"/>
    <w:basedOn w:val="DefaultParagraphFont"/>
    <w:uiPriority w:val="32"/>
    <w:qFormat/>
    <w:rsid w:val="009E2A1B"/>
    <w:rPr>
      <w:b/>
      <w:bCs/>
      <w:smallCaps/>
      <w:color w:val="4472C4" w:themeColor="accent1"/>
      <w:spacing w:val="5"/>
    </w:rPr>
  </w:style>
  <w:style w:type="paragraph" w:styleId="FootnoteText">
    <w:name w:val="footnote text"/>
    <w:basedOn w:val="Normal"/>
    <w:link w:val="FootnoteTextChar"/>
    <w:uiPriority w:val="99"/>
    <w:semiHidden/>
    <w:unhideWhenUsed/>
    <w:rsid w:val="009E2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A1B"/>
    <w:rPr>
      <w:sz w:val="20"/>
      <w:szCs w:val="20"/>
    </w:rPr>
  </w:style>
  <w:style w:type="character" w:styleId="FootnoteReference">
    <w:name w:val="footnote reference"/>
    <w:basedOn w:val="DefaultParagraphFont"/>
    <w:uiPriority w:val="99"/>
    <w:semiHidden/>
    <w:unhideWhenUsed/>
    <w:rsid w:val="009E2A1B"/>
    <w:rPr>
      <w:vertAlign w:val="superscript"/>
    </w:rPr>
  </w:style>
  <w:style w:type="character" w:styleId="FollowedHyperlink">
    <w:name w:val="FollowedHyperlink"/>
    <w:basedOn w:val="DefaultParagraphFont"/>
    <w:uiPriority w:val="99"/>
    <w:semiHidden/>
    <w:unhideWhenUsed/>
    <w:rsid w:val="009E2A1B"/>
    <w:rPr>
      <w:color w:val="954F72" w:themeColor="followedHyperlink"/>
      <w:u w:val="single"/>
    </w:rPr>
  </w:style>
  <w:style w:type="paragraph" w:styleId="z-TopofForm">
    <w:name w:val="HTML Top of Form"/>
    <w:basedOn w:val="Normal"/>
    <w:next w:val="Normal"/>
    <w:link w:val="z-TopofFormChar"/>
    <w:hidden/>
    <w:uiPriority w:val="99"/>
    <w:semiHidden/>
    <w:unhideWhenUsed/>
    <w:rsid w:val="009E2A1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E2A1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E2A1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E2A1B"/>
    <w:rPr>
      <w:rFonts w:ascii="Arial" w:eastAsia="Times New Roman" w:hAnsi="Arial" w:cs="Arial"/>
      <w:vanish/>
      <w:sz w:val="16"/>
      <w:szCs w:val="16"/>
      <w:lang w:eastAsia="en-GB"/>
    </w:rPr>
  </w:style>
  <w:style w:type="paragraph" w:styleId="Header">
    <w:name w:val="header"/>
    <w:basedOn w:val="Normal"/>
    <w:link w:val="HeaderChar"/>
    <w:uiPriority w:val="99"/>
    <w:unhideWhenUsed/>
    <w:rsid w:val="009E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A1B"/>
  </w:style>
  <w:style w:type="paragraph" w:styleId="Footer">
    <w:name w:val="footer"/>
    <w:basedOn w:val="Normal"/>
    <w:link w:val="FooterChar"/>
    <w:uiPriority w:val="99"/>
    <w:unhideWhenUsed/>
    <w:rsid w:val="009E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A1B"/>
  </w:style>
  <w:style w:type="character" w:customStyle="1" w:styleId="ListParagraphChar">
    <w:name w:val="List Paragraph Char"/>
    <w:basedOn w:val="DefaultParagraphFont"/>
    <w:link w:val="ListParagraph"/>
    <w:uiPriority w:val="34"/>
    <w:rsid w:val="009E2A1B"/>
  </w:style>
  <w:style w:type="paragraph" w:styleId="BalloonText">
    <w:name w:val="Balloon Text"/>
    <w:basedOn w:val="Normal"/>
    <w:link w:val="BalloonTextChar"/>
    <w:uiPriority w:val="99"/>
    <w:semiHidden/>
    <w:unhideWhenUsed/>
    <w:rsid w:val="009E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1B"/>
    <w:rPr>
      <w:rFonts w:ascii="Segoe UI" w:hAnsi="Segoe UI" w:cs="Segoe UI"/>
      <w:sz w:val="18"/>
      <w:szCs w:val="18"/>
    </w:rPr>
  </w:style>
  <w:style w:type="paragraph" w:customStyle="1" w:styleId="TableStyle">
    <w:name w:val="Table Style"/>
    <w:basedOn w:val="Normal"/>
    <w:link w:val="TableStyleChar"/>
    <w:uiPriority w:val="15"/>
    <w:qFormat/>
    <w:rsid w:val="009E2A1B"/>
    <w:pPr>
      <w:spacing w:before="20" w:after="20" w:line="240" w:lineRule="auto"/>
    </w:pPr>
    <w:rPr>
      <w:rFonts w:ascii="Georgia" w:hAnsi="Georgia" w:cs="Arial"/>
      <w:sz w:val="20"/>
      <w:szCs w:val="20"/>
    </w:rPr>
  </w:style>
  <w:style w:type="character" w:customStyle="1" w:styleId="TableStyleChar">
    <w:name w:val="Table Style Char"/>
    <w:basedOn w:val="DefaultParagraphFont"/>
    <w:link w:val="TableStyle"/>
    <w:uiPriority w:val="15"/>
    <w:rsid w:val="009E2A1B"/>
    <w:rPr>
      <w:rFonts w:ascii="Georgia" w:hAnsi="Georgia" w:cs="Arial"/>
      <w:sz w:val="20"/>
      <w:szCs w:val="20"/>
    </w:rPr>
  </w:style>
  <w:style w:type="table" w:customStyle="1" w:styleId="NLPColour">
    <w:name w:val="NLP Colour"/>
    <w:basedOn w:val="TableNormal"/>
    <w:uiPriority w:val="99"/>
    <w:rsid w:val="009E2A1B"/>
    <w:pPr>
      <w:spacing w:after="0" w:line="240" w:lineRule="auto"/>
    </w:pPr>
    <w:rPr>
      <w:rFonts w:ascii="Calibri" w:eastAsia="Times New Roman" w:hAnsi="Calibri" w:cs="Arial"/>
      <w:sz w:val="20"/>
      <w:szCs w:val="20"/>
    </w:rPr>
    <w:tblP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
    <w:tcPr>
      <w:shd w:val="clear" w:color="auto" w:fill="FFFFFF" w:themeFill="background1"/>
      <w:noWrap/>
    </w:tcPr>
    <w:tblStylePr w:type="firstRow">
      <w:rPr>
        <w:rFonts w:ascii="Calibri" w:hAnsi="Calibri"/>
        <w:b w:val="0"/>
        <w:color w:val="auto"/>
        <w:sz w:val="20"/>
      </w:rPr>
      <w:tblPr/>
      <w:tcPr>
        <w:shd w:val="clear" w:color="auto" w:fill="70AD47" w:themeFill="accent6"/>
      </w:tcPr>
    </w:tblStylePr>
  </w:style>
  <w:style w:type="character" w:customStyle="1" w:styleId="NoSpacingChar">
    <w:name w:val="No Spacing Char"/>
    <w:basedOn w:val="DefaultParagraphFont"/>
    <w:link w:val="NoSpacing"/>
    <w:uiPriority w:val="1"/>
    <w:rsid w:val="009E2A1B"/>
  </w:style>
  <w:style w:type="paragraph" w:customStyle="1" w:styleId="public-draftstyledefault-unorderedlistitem">
    <w:name w:val="public-draftstyledefault-unorderedlistitem"/>
    <w:basedOn w:val="Normal"/>
    <w:rsid w:val="009E2A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2A1B"/>
  </w:style>
  <w:style w:type="character" w:customStyle="1" w:styleId="eop">
    <w:name w:val="eop"/>
    <w:basedOn w:val="DefaultParagraphFont"/>
    <w:rsid w:val="009E2A1B"/>
  </w:style>
  <w:style w:type="character" w:styleId="CommentReference">
    <w:name w:val="annotation reference"/>
    <w:basedOn w:val="DefaultParagraphFont"/>
    <w:uiPriority w:val="99"/>
    <w:semiHidden/>
    <w:unhideWhenUsed/>
    <w:rsid w:val="009E2A1B"/>
    <w:rPr>
      <w:sz w:val="16"/>
      <w:szCs w:val="16"/>
    </w:rPr>
  </w:style>
  <w:style w:type="paragraph" w:styleId="CommentText">
    <w:name w:val="annotation text"/>
    <w:basedOn w:val="Normal"/>
    <w:link w:val="CommentTextChar"/>
    <w:uiPriority w:val="99"/>
    <w:semiHidden/>
    <w:unhideWhenUsed/>
    <w:rsid w:val="009E2A1B"/>
    <w:pPr>
      <w:spacing w:line="240" w:lineRule="auto"/>
    </w:pPr>
    <w:rPr>
      <w:sz w:val="20"/>
      <w:szCs w:val="20"/>
    </w:rPr>
  </w:style>
  <w:style w:type="character" w:customStyle="1" w:styleId="CommentTextChar">
    <w:name w:val="Comment Text Char"/>
    <w:basedOn w:val="DefaultParagraphFont"/>
    <w:link w:val="CommentText"/>
    <w:uiPriority w:val="99"/>
    <w:semiHidden/>
    <w:rsid w:val="009E2A1B"/>
    <w:rPr>
      <w:sz w:val="20"/>
      <w:szCs w:val="20"/>
    </w:rPr>
  </w:style>
  <w:style w:type="paragraph" w:styleId="CommentSubject">
    <w:name w:val="annotation subject"/>
    <w:basedOn w:val="CommentText"/>
    <w:next w:val="CommentText"/>
    <w:link w:val="CommentSubjectChar"/>
    <w:uiPriority w:val="99"/>
    <w:semiHidden/>
    <w:unhideWhenUsed/>
    <w:rsid w:val="009E2A1B"/>
    <w:rPr>
      <w:b/>
      <w:bCs/>
    </w:rPr>
  </w:style>
  <w:style w:type="character" w:customStyle="1" w:styleId="CommentSubjectChar">
    <w:name w:val="Comment Subject Char"/>
    <w:basedOn w:val="CommentTextChar"/>
    <w:link w:val="CommentSubject"/>
    <w:uiPriority w:val="99"/>
    <w:semiHidden/>
    <w:rsid w:val="009E2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O’Brien</dc:creator>
  <cp:keywords/>
  <dc:description/>
  <cp:lastModifiedBy>Christopher O’Brien</cp:lastModifiedBy>
  <cp:revision>9</cp:revision>
  <dcterms:created xsi:type="dcterms:W3CDTF">2021-10-19T09:30:00Z</dcterms:created>
  <dcterms:modified xsi:type="dcterms:W3CDTF">2021-10-19T09:39:00Z</dcterms:modified>
</cp:coreProperties>
</file>